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11" w:type="dxa"/>
        <w:tblInd w:w="-176" w:type="dxa"/>
        <w:tblBorders>
          <w:insideV w:val="single" w:sz="4" w:space="0" w:color="auto"/>
        </w:tblBorders>
        <w:tblLayout w:type="fixed"/>
        <w:tblLook w:val="01E0" w:firstRow="1" w:lastRow="1" w:firstColumn="1" w:lastColumn="1" w:noHBand="0" w:noVBand="0"/>
      </w:tblPr>
      <w:tblGrid>
        <w:gridCol w:w="1310"/>
        <w:gridCol w:w="3969"/>
        <w:gridCol w:w="5245"/>
        <w:gridCol w:w="142"/>
        <w:gridCol w:w="5245"/>
      </w:tblGrid>
      <w:tr w:rsidR="002B666A" w:rsidRPr="00307D5D" w:rsidTr="00665B16">
        <w:trPr>
          <w:gridAfter w:val="1"/>
          <w:wAfter w:w="5245" w:type="dxa"/>
        </w:trPr>
        <w:tc>
          <w:tcPr>
            <w:tcW w:w="10666" w:type="dxa"/>
            <w:gridSpan w:val="4"/>
            <w:tcBorders>
              <w:bottom w:val="nil"/>
            </w:tcBorders>
          </w:tcPr>
          <w:p w:rsidR="002B666A" w:rsidRPr="00307D5D" w:rsidRDefault="002B666A" w:rsidP="002B666A">
            <w:pPr>
              <w:jc w:val="center"/>
              <w:rPr>
                <w:rFonts w:ascii="Arial" w:hAnsi="Arial" w:cs="Arial"/>
                <w:b/>
                <w:lang w:val="ru-RU"/>
              </w:rPr>
            </w:pPr>
            <w:r w:rsidRPr="00307D5D">
              <w:rPr>
                <w:rFonts w:ascii="Arial" w:hAnsi="Arial" w:cs="Arial"/>
                <w:b/>
                <w:lang w:val="ru-RU"/>
              </w:rPr>
              <w:t xml:space="preserve">ДОГОВОР № _______ </w:t>
            </w:r>
          </w:p>
          <w:p w:rsidR="002B666A" w:rsidRPr="00307D5D" w:rsidRDefault="002B666A" w:rsidP="002B666A">
            <w:pPr>
              <w:jc w:val="center"/>
              <w:rPr>
                <w:rFonts w:ascii="Arial" w:hAnsi="Arial" w:cs="Arial"/>
                <w:b/>
                <w:lang w:val="ru-RU"/>
              </w:rPr>
            </w:pPr>
            <w:r w:rsidRPr="00307D5D">
              <w:rPr>
                <w:rFonts w:ascii="Arial" w:hAnsi="Arial" w:cs="Arial"/>
                <w:b/>
                <w:lang w:val="ru-RU"/>
              </w:rPr>
              <w:t>Об инвестиционном консультировании</w:t>
            </w:r>
          </w:p>
          <w:p w:rsidR="002B666A" w:rsidRPr="00307D5D" w:rsidRDefault="002B666A" w:rsidP="002B666A">
            <w:pPr>
              <w:jc w:val="center"/>
              <w:rPr>
                <w:rFonts w:ascii="Arial" w:hAnsi="Arial" w:cs="Arial"/>
                <w:b/>
                <w:lang w:val="ru-RU"/>
              </w:rPr>
            </w:pPr>
          </w:p>
        </w:tc>
      </w:tr>
      <w:tr w:rsidR="00E26C43" w:rsidRPr="00307D5D" w:rsidTr="00665B16">
        <w:trPr>
          <w:gridAfter w:val="1"/>
          <w:wAfter w:w="5245" w:type="dxa"/>
        </w:trPr>
        <w:tc>
          <w:tcPr>
            <w:tcW w:w="1310" w:type="dxa"/>
            <w:tcBorders>
              <w:right w:val="nil"/>
            </w:tcBorders>
          </w:tcPr>
          <w:p w:rsidR="00E26C43" w:rsidRPr="00307D5D" w:rsidRDefault="00E26C43" w:rsidP="00E26C43">
            <w:pPr>
              <w:jc w:val="both"/>
              <w:rPr>
                <w:rFonts w:ascii="Arial" w:hAnsi="Arial" w:cs="Arial"/>
                <w:lang w:val="ru-RU"/>
              </w:rPr>
            </w:pPr>
            <w:r w:rsidRPr="00307D5D">
              <w:rPr>
                <w:rFonts w:ascii="Arial" w:hAnsi="Arial" w:cs="Arial"/>
                <w:lang w:val="ru-RU"/>
              </w:rPr>
              <w:t>г. Москва</w:t>
            </w:r>
          </w:p>
          <w:p w:rsidR="00E26C43" w:rsidRPr="00307D5D" w:rsidRDefault="00E26C43" w:rsidP="00E26C43">
            <w:pPr>
              <w:jc w:val="both"/>
              <w:rPr>
                <w:rFonts w:ascii="Arial" w:hAnsi="Arial" w:cs="Arial"/>
                <w:lang w:val="ru-RU"/>
              </w:rPr>
            </w:pPr>
          </w:p>
        </w:tc>
        <w:tc>
          <w:tcPr>
            <w:tcW w:w="9356" w:type="dxa"/>
            <w:gridSpan w:val="3"/>
            <w:tcBorders>
              <w:left w:val="nil"/>
            </w:tcBorders>
          </w:tcPr>
          <w:p w:rsidR="00E26C43" w:rsidRPr="00307D5D" w:rsidRDefault="00E26C43" w:rsidP="00E26C43">
            <w:pPr>
              <w:jc w:val="right"/>
              <w:rPr>
                <w:rFonts w:ascii="Arial" w:hAnsi="Arial" w:cs="Arial"/>
                <w:lang w:val="ru-RU"/>
              </w:rPr>
            </w:pPr>
            <w:r w:rsidRPr="00307D5D">
              <w:rPr>
                <w:rFonts w:ascii="Arial" w:hAnsi="Arial" w:cs="Arial"/>
                <w:lang w:val="ru-RU"/>
              </w:rPr>
              <w:t>«</w:t>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r w:rsidRPr="00307D5D">
              <w:rPr>
                <w:rFonts w:ascii="Arial" w:hAnsi="Arial" w:cs="Arial"/>
                <w:lang w:val="ru-RU"/>
              </w:rPr>
              <w:t xml:space="preserve">» </w:t>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r w:rsidRPr="00307D5D">
              <w:rPr>
                <w:rFonts w:ascii="Arial" w:hAnsi="Arial" w:cs="Arial"/>
                <w:lang w:val="ru-RU"/>
              </w:rPr>
              <w:t xml:space="preserve"> 20</w:t>
            </w:r>
            <w:r>
              <w:rPr>
                <w:rFonts w:ascii="Arial" w:hAnsi="Arial" w:cs="Arial"/>
                <w:lang w:val="ru-RU"/>
              </w:rPr>
              <w:t>1</w:t>
            </w:r>
            <w:r>
              <w:rPr>
                <w:rFonts w:ascii="Arial" w:hAnsi="Arial" w:cs="Arial"/>
                <w:lang w:val="ru-RU"/>
              </w:rPr>
              <w:t>8</w:t>
            </w:r>
            <w:bookmarkStart w:id="0" w:name="_GoBack"/>
            <w:bookmarkEnd w:id="0"/>
            <w:r w:rsidRPr="00307D5D">
              <w:rPr>
                <w:rFonts w:ascii="Arial" w:hAnsi="Arial" w:cs="Arial"/>
                <w:lang w:val="ru-RU"/>
              </w:rPr>
              <w:t xml:space="preserve"> г.</w:t>
            </w:r>
          </w:p>
        </w:tc>
      </w:tr>
      <w:tr w:rsidR="002B666A" w:rsidRPr="00E26C43" w:rsidTr="002B666A">
        <w:trPr>
          <w:gridAfter w:val="1"/>
          <w:wAfter w:w="5245" w:type="dxa"/>
        </w:trPr>
        <w:tc>
          <w:tcPr>
            <w:tcW w:w="10666" w:type="dxa"/>
            <w:gridSpan w:val="4"/>
          </w:tcPr>
          <w:p w:rsidR="002B666A" w:rsidRPr="00307D5D" w:rsidRDefault="002B666A" w:rsidP="002B666A">
            <w:pPr>
              <w:pStyle w:val="a3"/>
              <w:spacing w:after="0"/>
              <w:jc w:val="both"/>
              <w:rPr>
                <w:rFonts w:ascii="Arial" w:hAnsi="Arial" w:cs="Arial"/>
                <w:lang w:val="ru-RU"/>
              </w:rPr>
            </w:pP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r w:rsidRPr="00307D5D">
              <w:rPr>
                <w:rFonts w:ascii="Arial" w:hAnsi="Arial" w:cs="Arial"/>
                <w:lang w:val="ru-RU"/>
              </w:rPr>
              <w:t xml:space="preserve"> </w:t>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r w:rsidRPr="00307D5D">
              <w:rPr>
                <w:rFonts w:ascii="Arial" w:hAnsi="Arial" w:cs="Arial"/>
                <w:lang w:val="ru-RU"/>
              </w:rPr>
              <w:t xml:space="preserve">, именуемый в дальнейшем «Клиент», с одной стороны, и </w:t>
            </w:r>
          </w:p>
          <w:p w:rsidR="002B666A" w:rsidRPr="00307D5D" w:rsidRDefault="002B666A" w:rsidP="002B666A">
            <w:pPr>
              <w:pStyle w:val="a3"/>
              <w:spacing w:after="0"/>
              <w:jc w:val="both"/>
              <w:rPr>
                <w:rFonts w:ascii="Arial" w:hAnsi="Arial" w:cs="Arial"/>
                <w:lang w:val="ru-RU"/>
              </w:rPr>
            </w:pPr>
          </w:p>
          <w:p w:rsidR="002B666A" w:rsidRPr="00307D5D" w:rsidRDefault="002B666A" w:rsidP="002B666A">
            <w:pPr>
              <w:pStyle w:val="a3"/>
              <w:spacing w:after="0"/>
              <w:jc w:val="both"/>
              <w:rPr>
                <w:rFonts w:ascii="Arial" w:hAnsi="Arial" w:cs="Arial"/>
                <w:lang w:val="ru-RU"/>
              </w:rPr>
            </w:pPr>
            <w:r w:rsidRPr="00307D5D">
              <w:rPr>
                <w:rFonts w:ascii="Arial" w:hAnsi="Arial" w:cs="Arial"/>
                <w:b/>
                <w:lang w:val="ru-RU"/>
              </w:rPr>
              <w:t>Общество с ограниченной ответственностью «Управляющая компания «Альфа-Капитал»</w:t>
            </w:r>
            <w:r w:rsidRPr="00307D5D">
              <w:rPr>
                <w:rFonts w:ascii="Arial" w:hAnsi="Arial" w:cs="Arial"/>
                <w:lang w:val="ru-RU"/>
              </w:rPr>
              <w:t xml:space="preserve">, именуемое в дальнейшем «Инвестиционный советник», в лице </w:t>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noProof/>
                <w:lang w:val="ru-RU"/>
              </w:rPr>
              <w:t>Генерального директора</w:t>
            </w:r>
            <w:r w:rsidRPr="00307D5D">
              <w:rPr>
                <w:rFonts w:ascii="Arial" w:hAnsi="Arial" w:cs="Arial"/>
              </w:rPr>
              <w:fldChar w:fldCharType="end"/>
            </w:r>
            <w:r w:rsidRPr="00307D5D">
              <w:rPr>
                <w:rFonts w:ascii="Arial" w:hAnsi="Arial" w:cs="Arial"/>
                <w:lang w:val="ru-RU"/>
              </w:rPr>
              <w:t xml:space="preserve"> </w:t>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r w:rsidRPr="00307D5D">
              <w:rPr>
                <w:rFonts w:ascii="Arial" w:hAnsi="Arial" w:cs="Arial"/>
                <w:lang w:val="ru-RU"/>
              </w:rPr>
              <w:t xml:space="preserve">, действующего на основании </w:t>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noProof/>
                <w:lang w:val="ru-RU"/>
              </w:rPr>
              <w:t>Устава</w:t>
            </w:r>
            <w:r w:rsidRPr="00307D5D">
              <w:rPr>
                <w:rFonts w:ascii="Arial" w:hAnsi="Arial" w:cs="Arial"/>
              </w:rPr>
              <w:fldChar w:fldCharType="end"/>
            </w:r>
            <w:r w:rsidRPr="00307D5D">
              <w:rPr>
                <w:rFonts w:ascii="Arial" w:hAnsi="Arial" w:cs="Arial"/>
                <w:lang w:val="ru-RU"/>
              </w:rPr>
              <w:t>, с другой стороны, совместно именуемые «Стороны», заключили настоящий Договор (далее – «Договор») о нижеследующем.</w:t>
            </w:r>
          </w:p>
          <w:p w:rsidR="002B666A" w:rsidRPr="00307D5D" w:rsidRDefault="002B666A" w:rsidP="002B666A">
            <w:pPr>
              <w:pStyle w:val="a3"/>
              <w:spacing w:after="0"/>
              <w:jc w:val="both"/>
              <w:rPr>
                <w:rFonts w:ascii="Arial" w:hAnsi="Arial" w:cs="Arial"/>
                <w:lang w:val="ru-RU"/>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ind w:left="510" w:hanging="510"/>
              <w:jc w:val="both"/>
              <w:rPr>
                <w:rFonts w:ascii="Arial" w:hAnsi="Arial" w:cs="Arial"/>
                <w:b/>
              </w:rPr>
            </w:pPr>
            <w:r w:rsidRPr="00307D5D">
              <w:rPr>
                <w:rFonts w:ascii="Arial" w:hAnsi="Arial" w:cs="Arial"/>
                <w:b/>
              </w:rPr>
              <w:t>Предмет Договора</w:t>
            </w:r>
          </w:p>
          <w:p w:rsidR="002B666A" w:rsidRPr="00307D5D"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510" w:hanging="510"/>
              <w:jc w:val="both"/>
              <w:rPr>
                <w:rFonts w:ascii="Arial" w:hAnsi="Arial" w:cs="Arial"/>
              </w:rPr>
            </w:pPr>
            <w:r w:rsidRPr="00307D5D">
              <w:rPr>
                <w:rFonts w:ascii="Arial" w:hAnsi="Arial" w:cs="Arial"/>
              </w:rPr>
              <w:t xml:space="preserve">Инвестиционный советник обязуется оказывать консультационные услуги в отношении ценных бумаг, сделок с ними и (или) заключения договоров, являющихся производными финансовыми инструментами, путем предоставления Клиенту Индивидуальных инвестиционных рекомендаций в соответствии с Инвестиционным профилем Клиента (далее –Инвестиционное консультирование).  </w:t>
            </w:r>
          </w:p>
          <w:p w:rsidR="002B666A" w:rsidRPr="00307D5D" w:rsidRDefault="002B666A" w:rsidP="002B666A">
            <w:pPr>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510" w:hanging="510"/>
              <w:jc w:val="both"/>
              <w:rPr>
                <w:rFonts w:ascii="Arial" w:hAnsi="Arial" w:cs="Arial"/>
              </w:rPr>
            </w:pPr>
            <w:r w:rsidRPr="00307D5D">
              <w:rPr>
                <w:rFonts w:ascii="Arial" w:hAnsi="Arial" w:cs="Arial"/>
              </w:rPr>
              <w:t xml:space="preserve">Инвестиционный советник не осуществляет мониторинг </w:t>
            </w:r>
            <w:r w:rsidR="00FB0ED3" w:rsidRPr="00307D5D">
              <w:rPr>
                <w:rFonts w:ascii="Arial" w:hAnsi="Arial" w:cs="Arial"/>
              </w:rPr>
              <w:t xml:space="preserve">фактического </w:t>
            </w:r>
            <w:r w:rsidRPr="00307D5D">
              <w:rPr>
                <w:rFonts w:ascii="Arial" w:hAnsi="Arial" w:cs="Arial"/>
              </w:rPr>
              <w:t>инвестиционного портфеля Клиента и не предоставляет консультаций по его изменению.</w:t>
            </w:r>
          </w:p>
          <w:p w:rsidR="002B666A" w:rsidRPr="00307D5D" w:rsidRDefault="002B666A" w:rsidP="002B666A">
            <w:pPr>
              <w:pStyle w:val="a7"/>
              <w:ind w:left="510"/>
              <w:jc w:val="both"/>
              <w:rPr>
                <w:rFonts w:ascii="Arial" w:hAnsi="Arial" w:cs="Arial"/>
              </w:rPr>
            </w:pPr>
          </w:p>
        </w:tc>
      </w:tr>
      <w:tr w:rsidR="002B666A" w:rsidRPr="00E26C43" w:rsidTr="002B666A">
        <w:trPr>
          <w:gridAfter w:val="1"/>
          <w:wAfter w:w="5245" w:type="dxa"/>
          <w:trHeight w:val="70"/>
        </w:trPr>
        <w:tc>
          <w:tcPr>
            <w:tcW w:w="10666" w:type="dxa"/>
            <w:gridSpan w:val="4"/>
          </w:tcPr>
          <w:p w:rsidR="002B666A" w:rsidRPr="00307D5D" w:rsidRDefault="002B666A" w:rsidP="002B666A">
            <w:pPr>
              <w:pStyle w:val="a7"/>
              <w:numPr>
                <w:ilvl w:val="1"/>
                <w:numId w:val="5"/>
              </w:numPr>
              <w:ind w:left="510" w:hanging="510"/>
              <w:jc w:val="both"/>
              <w:rPr>
                <w:rFonts w:ascii="Arial" w:hAnsi="Arial" w:cs="Arial"/>
              </w:rPr>
            </w:pPr>
            <w:r w:rsidRPr="00307D5D">
              <w:rPr>
                <w:rFonts w:ascii="Arial" w:hAnsi="Arial" w:cs="Arial"/>
              </w:rPr>
              <w:t>Инвестиционный советник вправе осуществлять деятельность по Инвестиционному консультированию на основании включения в единый реестр инвестиционных советников Банка России (Уведомление ЦБ РФ №14-6-16/15256 от 27.12.2018 г.)</w:t>
            </w:r>
          </w:p>
          <w:p w:rsidR="002B666A" w:rsidRPr="00307D5D" w:rsidRDefault="002B666A" w:rsidP="002B666A">
            <w:pPr>
              <w:pStyle w:val="a7"/>
              <w:ind w:left="510"/>
              <w:jc w:val="both"/>
              <w:rPr>
                <w:rFonts w:ascii="Arial" w:hAnsi="Arial" w:cs="Arial"/>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ind w:left="510" w:hanging="510"/>
              <w:jc w:val="both"/>
              <w:rPr>
                <w:rFonts w:ascii="Arial" w:hAnsi="Arial" w:cs="Arial"/>
                <w:b/>
              </w:rPr>
            </w:pPr>
            <w:r w:rsidRPr="00307D5D">
              <w:rPr>
                <w:rFonts w:ascii="Arial" w:hAnsi="Arial" w:cs="Arial"/>
                <w:b/>
              </w:rPr>
              <w:t xml:space="preserve">Порядок исполнения обязательств по Договору </w:t>
            </w:r>
          </w:p>
          <w:p w:rsidR="002B666A" w:rsidRPr="00307D5D" w:rsidRDefault="002B666A" w:rsidP="002B666A">
            <w:pPr>
              <w:pStyle w:val="a7"/>
              <w:ind w:left="51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widowControl/>
              <w:numPr>
                <w:ilvl w:val="1"/>
                <w:numId w:val="5"/>
              </w:numPr>
              <w:autoSpaceDE/>
              <w:autoSpaceDN/>
              <w:adjustRightInd/>
              <w:spacing w:before="120"/>
              <w:ind w:left="494"/>
              <w:contextualSpacing w:val="0"/>
              <w:jc w:val="both"/>
              <w:rPr>
                <w:rFonts w:ascii="Arial" w:hAnsi="Arial" w:cs="Arial"/>
              </w:rPr>
            </w:pPr>
            <w:r w:rsidRPr="00307D5D">
              <w:rPr>
                <w:rFonts w:ascii="Arial" w:hAnsi="Arial" w:cs="Arial"/>
                <w:b/>
              </w:rPr>
              <w:t>Индивидуальная инвестиционная рекомендация</w:t>
            </w:r>
            <w:r w:rsidRPr="00307D5D">
              <w:rPr>
                <w:rFonts w:ascii="Arial" w:hAnsi="Arial" w:cs="Arial"/>
              </w:rPr>
              <w:t xml:space="preserve"> – подготовленная для Клиента рекомендация о соответствующих инвестиционному профилю Клиента ценных бумагах, сделках с ними и (или) договорах, являющихся производными финансовыми инструментами (далее – Индивидуальная инвестиционная рекомендация). Информация, предоставляемая Клиенту, является Индивидуальной инвестиционной рекомендацией в случае прямого указания об этом в тексте предоставляемой информации. </w:t>
            </w:r>
          </w:p>
          <w:p w:rsidR="002B666A" w:rsidRPr="00307D5D" w:rsidRDefault="002B666A" w:rsidP="002B666A">
            <w:pPr>
              <w:pStyle w:val="a7"/>
              <w:ind w:left="51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widowControl/>
              <w:numPr>
                <w:ilvl w:val="1"/>
                <w:numId w:val="5"/>
              </w:numPr>
              <w:autoSpaceDE/>
              <w:autoSpaceDN/>
              <w:adjustRightInd/>
              <w:spacing w:before="120"/>
              <w:ind w:left="494"/>
              <w:contextualSpacing w:val="0"/>
              <w:jc w:val="both"/>
              <w:rPr>
                <w:rFonts w:ascii="Arial" w:hAnsi="Arial" w:cs="Arial"/>
              </w:rPr>
            </w:pPr>
            <w:r w:rsidRPr="00307D5D">
              <w:rPr>
                <w:rFonts w:ascii="Arial" w:hAnsi="Arial" w:cs="Arial"/>
              </w:rPr>
              <w:t xml:space="preserve">Инвестиционный советник предоставляет Индивидуальные инвестиционные рекомендации Клиенту в соответствии с его инвестиционным профилем (далее – Инвестиционный профиль). Инвестиционный профиль Клиента определяется на основе сведений, полученных от Клиента. </w:t>
            </w:r>
            <w:r w:rsidRPr="00307D5D">
              <w:rPr>
                <w:rFonts w:ascii="Arial" w:eastAsiaTheme="minorHAnsi" w:hAnsi="Arial" w:cs="Arial"/>
                <w:lang w:eastAsia="en-US"/>
              </w:rPr>
              <w:t xml:space="preserve">Инвестиционный советник не несет ответственности за убытки, причиненные вследствие </w:t>
            </w:r>
            <w:r w:rsidR="00F17EA2">
              <w:rPr>
                <w:rFonts w:ascii="Arial" w:eastAsiaTheme="minorHAnsi" w:hAnsi="Arial" w:cs="Arial"/>
                <w:lang w:eastAsia="en-US"/>
              </w:rPr>
              <w:t>И</w:t>
            </w:r>
            <w:r w:rsidRPr="00307D5D">
              <w:rPr>
                <w:rFonts w:ascii="Arial" w:eastAsiaTheme="minorHAnsi" w:hAnsi="Arial" w:cs="Arial"/>
                <w:lang w:eastAsia="en-US"/>
              </w:rPr>
              <w:t xml:space="preserve">ндивидуальной инвестиционной рекомендации, основанной на представленной Клиентом недостоверной информации. </w:t>
            </w:r>
            <w:r w:rsidRPr="00307D5D">
              <w:rPr>
                <w:rFonts w:ascii="Arial" w:hAnsi="Arial" w:cs="Arial"/>
              </w:rPr>
              <w:t xml:space="preserve">Порядок определения Инвестиционного профиля </w:t>
            </w:r>
            <w:r w:rsidR="00F17EA2">
              <w:rPr>
                <w:rFonts w:ascii="Arial" w:hAnsi="Arial" w:cs="Arial"/>
              </w:rPr>
              <w:t>К</w:t>
            </w:r>
            <w:r w:rsidRPr="00307D5D">
              <w:rPr>
                <w:rFonts w:ascii="Arial" w:hAnsi="Arial" w:cs="Arial"/>
              </w:rPr>
              <w:t>лиента устанавливается внутренним документом Инвестиционного советника.</w:t>
            </w:r>
          </w:p>
          <w:p w:rsidR="002B666A" w:rsidRPr="00307D5D" w:rsidRDefault="002B666A" w:rsidP="002B666A">
            <w:pPr>
              <w:pStyle w:val="a7"/>
              <w:ind w:left="51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widowControl/>
              <w:numPr>
                <w:ilvl w:val="1"/>
                <w:numId w:val="5"/>
              </w:numPr>
              <w:autoSpaceDE/>
              <w:autoSpaceDN/>
              <w:adjustRightInd/>
              <w:spacing w:before="120"/>
              <w:ind w:left="494"/>
              <w:contextualSpacing w:val="0"/>
              <w:jc w:val="both"/>
              <w:rPr>
                <w:rFonts w:ascii="Arial" w:hAnsi="Arial" w:cs="Arial"/>
              </w:rPr>
            </w:pPr>
            <w:r w:rsidRPr="00307D5D">
              <w:rPr>
                <w:rFonts w:ascii="Arial" w:hAnsi="Arial" w:cs="Arial"/>
              </w:rPr>
              <w:t xml:space="preserve">Клиент </w:t>
            </w:r>
            <w:r w:rsidR="00BC267D" w:rsidRPr="00307D5D">
              <w:rPr>
                <w:rFonts w:ascii="Arial" w:hAnsi="Arial" w:cs="Arial"/>
              </w:rPr>
              <w:t xml:space="preserve">подписывает </w:t>
            </w:r>
            <w:r w:rsidRPr="00307D5D">
              <w:rPr>
                <w:rFonts w:ascii="Arial" w:hAnsi="Arial" w:cs="Arial"/>
              </w:rPr>
              <w:t xml:space="preserve">согласие со своим Инвестиционным профилем, определенным Инвестиционным советником до предоставления им Индивидуальных инвестиционных рекомендаций. Согласие </w:t>
            </w:r>
            <w:r w:rsidR="00BC267D" w:rsidRPr="00307D5D">
              <w:rPr>
                <w:rFonts w:ascii="Arial" w:hAnsi="Arial" w:cs="Arial"/>
              </w:rPr>
              <w:t xml:space="preserve">предоставляется </w:t>
            </w:r>
            <w:r w:rsidRPr="00307D5D">
              <w:rPr>
                <w:rFonts w:ascii="Arial" w:hAnsi="Arial" w:cs="Arial"/>
              </w:rPr>
              <w:t xml:space="preserve">Клиентом по форме Инвестиционного советника в порядке, предусмотренном внутренним документом Инвестиционного советника об определении инвестиционного профиля клиента. </w:t>
            </w:r>
          </w:p>
          <w:p w:rsidR="002B666A" w:rsidRPr="00307D5D" w:rsidRDefault="002B666A" w:rsidP="002B666A">
            <w:pPr>
              <w:pStyle w:val="a7"/>
              <w:widowControl/>
              <w:autoSpaceDE/>
              <w:autoSpaceDN/>
              <w:adjustRightInd/>
              <w:spacing w:before="120"/>
              <w:ind w:left="494"/>
              <w:contextualSpacing w:val="0"/>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widowControl/>
              <w:numPr>
                <w:ilvl w:val="1"/>
                <w:numId w:val="5"/>
              </w:numPr>
              <w:autoSpaceDE/>
              <w:autoSpaceDN/>
              <w:adjustRightInd/>
              <w:spacing w:before="120"/>
              <w:ind w:left="494"/>
              <w:contextualSpacing w:val="0"/>
              <w:jc w:val="both"/>
              <w:rPr>
                <w:rFonts w:ascii="Arial" w:hAnsi="Arial" w:cs="Arial"/>
              </w:rPr>
            </w:pPr>
            <w:r w:rsidRPr="00307D5D">
              <w:rPr>
                <w:rFonts w:ascii="Arial" w:hAnsi="Arial" w:cs="Arial"/>
              </w:rPr>
              <w:t>Индивидуальные инвестиционные рекомендации предоставля</w:t>
            </w:r>
            <w:r w:rsidR="008C3B84">
              <w:rPr>
                <w:rFonts w:ascii="Arial" w:hAnsi="Arial" w:cs="Arial"/>
              </w:rPr>
              <w:t>ю</w:t>
            </w:r>
            <w:r w:rsidRPr="00307D5D">
              <w:rPr>
                <w:rFonts w:ascii="Arial" w:hAnsi="Arial" w:cs="Arial"/>
              </w:rPr>
              <w:t xml:space="preserve">тся Клиенту работником Инвестиционного советника, соответствующим требованиям к образованию, профессиональному опыту и квалификационным требованиям, установленным Банком России к инвестиционным советникам (далее – Инвестиционный консультант). </w:t>
            </w:r>
          </w:p>
          <w:p w:rsidR="002B666A" w:rsidRPr="00307D5D" w:rsidRDefault="002B666A" w:rsidP="002B666A">
            <w:pPr>
              <w:pStyle w:val="a7"/>
              <w:ind w:left="510"/>
              <w:jc w:val="both"/>
              <w:rPr>
                <w:rFonts w:ascii="Arial" w:hAnsi="Arial" w:cs="Arial"/>
                <w:b/>
              </w:rPr>
            </w:pPr>
          </w:p>
        </w:tc>
      </w:tr>
      <w:tr w:rsidR="002B666A" w:rsidRPr="00E26C43" w:rsidTr="002B666A">
        <w:trPr>
          <w:gridAfter w:val="1"/>
          <w:wAfter w:w="5245" w:type="dxa"/>
        </w:trPr>
        <w:tc>
          <w:tcPr>
            <w:tcW w:w="10666" w:type="dxa"/>
            <w:gridSpan w:val="4"/>
            <w:shd w:val="clear" w:color="auto" w:fill="auto"/>
          </w:tcPr>
          <w:p w:rsidR="002B666A" w:rsidRPr="00665B16" w:rsidRDefault="002B666A" w:rsidP="00665B16">
            <w:pPr>
              <w:pStyle w:val="a7"/>
              <w:widowControl/>
              <w:numPr>
                <w:ilvl w:val="1"/>
                <w:numId w:val="5"/>
              </w:numPr>
              <w:autoSpaceDE/>
              <w:autoSpaceDN/>
              <w:adjustRightInd/>
              <w:spacing w:before="120"/>
              <w:ind w:left="494"/>
              <w:contextualSpacing w:val="0"/>
              <w:jc w:val="both"/>
              <w:rPr>
                <w:rFonts w:ascii="Arial" w:hAnsi="Arial" w:cs="Arial"/>
              </w:rPr>
            </w:pPr>
            <w:r w:rsidRPr="00665B16">
              <w:rPr>
                <w:rFonts w:ascii="Arial" w:hAnsi="Arial" w:cs="Arial"/>
              </w:rPr>
              <w:t>Индивидуальная инвестиционная рекомендация может быть предоставлена в следующей форме:</w:t>
            </w:r>
          </w:p>
          <w:p w:rsidR="002B666A" w:rsidRPr="00307D5D" w:rsidRDefault="002B666A" w:rsidP="00BC267D">
            <w:pPr>
              <w:pStyle w:val="a7"/>
              <w:widowControl/>
              <w:numPr>
                <w:ilvl w:val="0"/>
                <w:numId w:val="13"/>
              </w:numPr>
              <w:autoSpaceDE/>
              <w:autoSpaceDN/>
              <w:adjustRightInd/>
              <w:spacing w:before="120"/>
              <w:contextualSpacing w:val="0"/>
              <w:jc w:val="both"/>
              <w:rPr>
                <w:rFonts w:ascii="Arial" w:hAnsi="Arial" w:cs="Arial"/>
              </w:rPr>
            </w:pPr>
            <w:r w:rsidRPr="00307D5D">
              <w:rPr>
                <w:rFonts w:ascii="Arial" w:hAnsi="Arial" w:cs="Arial"/>
              </w:rPr>
              <w:t>в форме электронного документа;</w:t>
            </w:r>
          </w:p>
          <w:p w:rsidR="002B666A" w:rsidRPr="00307D5D" w:rsidRDefault="002B666A" w:rsidP="00BC267D">
            <w:pPr>
              <w:pStyle w:val="a7"/>
              <w:widowControl/>
              <w:numPr>
                <w:ilvl w:val="0"/>
                <w:numId w:val="13"/>
              </w:numPr>
              <w:autoSpaceDE/>
              <w:autoSpaceDN/>
              <w:adjustRightInd/>
              <w:spacing w:before="120"/>
              <w:contextualSpacing w:val="0"/>
              <w:jc w:val="both"/>
              <w:rPr>
                <w:rFonts w:ascii="Arial" w:hAnsi="Arial" w:cs="Arial"/>
              </w:rPr>
            </w:pPr>
            <w:r w:rsidRPr="00307D5D">
              <w:rPr>
                <w:rFonts w:ascii="Arial" w:hAnsi="Arial" w:cs="Arial"/>
              </w:rPr>
              <w:t>в форме документа на бумажном носителе</w:t>
            </w:r>
            <w:r w:rsidR="008C3B84">
              <w:rPr>
                <w:rFonts w:ascii="Arial" w:hAnsi="Arial" w:cs="Arial"/>
              </w:rPr>
              <w:t>.</w:t>
            </w:r>
          </w:p>
          <w:p w:rsidR="002B666A" w:rsidRPr="00307D5D" w:rsidRDefault="002B666A" w:rsidP="002B666A">
            <w:pPr>
              <w:autoSpaceDE/>
              <w:autoSpaceDN/>
              <w:adjustRightInd/>
              <w:spacing w:before="120"/>
              <w:ind w:left="63"/>
              <w:jc w:val="both"/>
              <w:rPr>
                <w:rFonts w:ascii="Arial" w:hAnsi="Arial" w:cs="Arial"/>
                <w:lang w:val="ru-RU"/>
              </w:rPr>
            </w:pPr>
            <w:r w:rsidRPr="00307D5D">
              <w:rPr>
                <w:rFonts w:ascii="Arial" w:hAnsi="Arial" w:cs="Arial"/>
                <w:lang w:val="ru-RU"/>
              </w:rPr>
              <w:t>Индивидуальная инвестиционная рекомендация в форме электронного документа может быть представлена Клиенту:</w:t>
            </w:r>
          </w:p>
          <w:p w:rsidR="002B666A" w:rsidRPr="00665B16" w:rsidRDefault="002B666A" w:rsidP="00BC267D">
            <w:pPr>
              <w:pStyle w:val="a7"/>
              <w:widowControl/>
              <w:numPr>
                <w:ilvl w:val="0"/>
                <w:numId w:val="13"/>
              </w:numPr>
              <w:autoSpaceDE/>
              <w:autoSpaceDN/>
              <w:adjustRightInd/>
              <w:spacing w:before="120"/>
              <w:contextualSpacing w:val="0"/>
              <w:jc w:val="both"/>
              <w:rPr>
                <w:rFonts w:ascii="Arial" w:hAnsi="Arial" w:cs="Arial"/>
              </w:rPr>
            </w:pPr>
            <w:r w:rsidRPr="00665B16">
              <w:rPr>
                <w:rFonts w:ascii="Arial" w:hAnsi="Arial" w:cs="Arial"/>
              </w:rPr>
              <w:lastRenderedPageBreak/>
              <w:t xml:space="preserve">посредством электронной почты Инвестиционного консультанта Инвестиционного советника, </w:t>
            </w:r>
            <w:r w:rsidR="008C3B84">
              <w:rPr>
                <w:rFonts w:ascii="Arial" w:hAnsi="Arial" w:cs="Arial"/>
              </w:rPr>
              <w:t>путем направления Индивидуальной инвестиционной рекомендации</w:t>
            </w:r>
            <w:r w:rsidRPr="00665B16">
              <w:rPr>
                <w:rFonts w:ascii="Arial" w:hAnsi="Arial" w:cs="Arial"/>
              </w:rPr>
              <w:t xml:space="preserve"> на электронный адрес Клиента, указанный в Разделе 15 настоящего Договора</w:t>
            </w:r>
            <w:r w:rsidR="00BC267D" w:rsidRPr="00665B16">
              <w:rPr>
                <w:rFonts w:ascii="Arial" w:hAnsi="Arial" w:cs="Arial"/>
              </w:rPr>
              <w:t>;</w:t>
            </w:r>
            <w:r w:rsidRPr="00665B16">
              <w:rPr>
                <w:rFonts w:ascii="Arial" w:hAnsi="Arial" w:cs="Arial"/>
              </w:rPr>
              <w:t xml:space="preserve"> </w:t>
            </w:r>
          </w:p>
          <w:p w:rsidR="00BC267D" w:rsidRDefault="002B666A" w:rsidP="00BC267D">
            <w:pPr>
              <w:pStyle w:val="a7"/>
              <w:widowControl/>
              <w:numPr>
                <w:ilvl w:val="0"/>
                <w:numId w:val="13"/>
              </w:numPr>
              <w:autoSpaceDE/>
              <w:autoSpaceDN/>
              <w:adjustRightInd/>
              <w:spacing w:before="120"/>
              <w:contextualSpacing w:val="0"/>
              <w:jc w:val="both"/>
              <w:rPr>
                <w:rFonts w:ascii="Arial" w:hAnsi="Arial" w:cs="Arial"/>
              </w:rPr>
            </w:pPr>
            <w:r w:rsidRPr="00665B16">
              <w:rPr>
                <w:rFonts w:ascii="Arial" w:hAnsi="Arial" w:cs="Arial"/>
              </w:rPr>
              <w:t>посредством сервиса Инвестиционного советника для Клиентов «Личный кабинет» в сети Интернет по адресу https://my.alfacapital.ru/ (далее – Личный кабинет)</w:t>
            </w:r>
            <w:r w:rsidR="00BC267D" w:rsidRPr="00665B16">
              <w:rPr>
                <w:rFonts w:ascii="Arial" w:hAnsi="Arial" w:cs="Arial"/>
              </w:rPr>
              <w:t>;</w:t>
            </w:r>
          </w:p>
          <w:p w:rsidR="008C3B84" w:rsidRPr="00665B16" w:rsidRDefault="008C3B84" w:rsidP="007E62FC">
            <w:pPr>
              <w:pStyle w:val="a7"/>
              <w:widowControl/>
              <w:autoSpaceDE/>
              <w:autoSpaceDN/>
              <w:adjustRightInd/>
              <w:spacing w:before="120"/>
              <w:ind w:left="1214"/>
              <w:contextualSpacing w:val="0"/>
              <w:jc w:val="both"/>
              <w:rPr>
                <w:rFonts w:ascii="Arial" w:hAnsi="Arial" w:cs="Arial"/>
              </w:rPr>
            </w:pPr>
          </w:p>
          <w:p w:rsidR="00BC267D" w:rsidRPr="00307D5D" w:rsidRDefault="00BC267D" w:rsidP="00BC267D">
            <w:pPr>
              <w:pStyle w:val="a7"/>
              <w:widowControl/>
              <w:numPr>
                <w:ilvl w:val="0"/>
                <w:numId w:val="13"/>
              </w:numPr>
              <w:autoSpaceDE/>
              <w:adjustRightInd/>
              <w:spacing w:before="120"/>
              <w:jc w:val="both"/>
              <w:rPr>
                <w:rFonts w:ascii="Arial" w:hAnsi="Arial" w:cs="Arial"/>
              </w:rPr>
            </w:pPr>
            <w:r w:rsidRPr="00307D5D">
              <w:rPr>
                <w:rFonts w:ascii="Arial" w:hAnsi="Arial" w:cs="Arial"/>
              </w:rPr>
              <w:t>посредством мобильных приложений, поддерживающих техническую возможность предоставления Индивидуальных инвестиционных рекомендаций и доступа к таким рекомендациям Клиента.</w:t>
            </w:r>
          </w:p>
          <w:p w:rsidR="002B666A" w:rsidRPr="00665B16" w:rsidRDefault="002B666A" w:rsidP="00665B16">
            <w:pPr>
              <w:pStyle w:val="a7"/>
              <w:widowControl/>
              <w:autoSpaceDE/>
              <w:autoSpaceDN/>
              <w:adjustRightInd/>
              <w:spacing w:before="120"/>
              <w:ind w:left="1214"/>
              <w:contextualSpacing w:val="0"/>
              <w:jc w:val="both"/>
              <w:rPr>
                <w:rFonts w:ascii="Arial" w:hAnsi="Arial" w:cs="Arial"/>
              </w:rPr>
            </w:pPr>
          </w:p>
          <w:p w:rsidR="002B666A" w:rsidRPr="00307D5D" w:rsidRDefault="002B666A" w:rsidP="002B666A">
            <w:pPr>
              <w:pStyle w:val="a7"/>
              <w:autoSpaceDE/>
              <w:autoSpaceDN/>
              <w:adjustRightInd/>
              <w:spacing w:before="120"/>
              <w:ind w:left="63"/>
              <w:jc w:val="both"/>
              <w:rPr>
                <w:rFonts w:ascii="Arial" w:hAnsi="Arial" w:cs="Arial"/>
              </w:rPr>
            </w:pPr>
            <w:r w:rsidRPr="00307D5D">
              <w:rPr>
                <w:rFonts w:ascii="Arial" w:hAnsi="Arial" w:cs="Arial"/>
              </w:rPr>
              <w:t xml:space="preserve">Доступ к Личному кабинету считается представленным Инвестиционный советником Клиенту с момента представления ему Инвестиционным советником </w:t>
            </w:r>
            <w:proofErr w:type="spellStart"/>
            <w:r w:rsidRPr="00307D5D">
              <w:rPr>
                <w:rFonts w:ascii="Arial" w:hAnsi="Arial" w:cs="Arial"/>
              </w:rPr>
              <w:t>авторизационных</w:t>
            </w:r>
            <w:proofErr w:type="spellEnd"/>
            <w:r w:rsidRPr="00307D5D">
              <w:rPr>
                <w:rFonts w:ascii="Arial" w:hAnsi="Arial" w:cs="Arial"/>
              </w:rPr>
              <w:t xml:space="preserve"> данных (логин, пароль) посредством отправки Клиенту сообщения (СМС) на номер мобильного телефона, указанный в Договоре либо электронного сообщения на адрес электронной почты Клиента, указанный в Договоре. </w:t>
            </w:r>
          </w:p>
          <w:p w:rsidR="002B666A" w:rsidRPr="00307D5D" w:rsidRDefault="002B666A" w:rsidP="002B666A">
            <w:pPr>
              <w:pStyle w:val="a7"/>
              <w:autoSpaceDE/>
              <w:autoSpaceDN/>
              <w:adjustRightInd/>
              <w:spacing w:before="120"/>
              <w:ind w:left="63"/>
              <w:jc w:val="both"/>
              <w:rPr>
                <w:rFonts w:ascii="Arial" w:hAnsi="Arial" w:cs="Arial"/>
              </w:rPr>
            </w:pPr>
            <w:r w:rsidRPr="00307D5D">
              <w:rPr>
                <w:rFonts w:ascii="Arial" w:hAnsi="Arial" w:cs="Arial"/>
              </w:rPr>
              <w:t>Направленная Клиенту Индивидуальная инвестиционная рекомендация посредством электронной почты Инвестиционного консультанта, считается подписанной электронной подписью Инвестиционного консультанта</w:t>
            </w:r>
            <w:r w:rsidR="008C3B84">
              <w:rPr>
                <w:rFonts w:ascii="Arial" w:hAnsi="Arial" w:cs="Arial"/>
              </w:rPr>
              <w:t xml:space="preserve">, уполномоченного </w:t>
            </w:r>
            <w:r w:rsidR="008C3B84" w:rsidRPr="00307D5D">
              <w:rPr>
                <w:rFonts w:ascii="Arial" w:hAnsi="Arial" w:cs="Arial"/>
              </w:rPr>
              <w:t xml:space="preserve">на предоставление </w:t>
            </w:r>
            <w:r w:rsidR="008C3B84">
              <w:rPr>
                <w:rFonts w:ascii="Arial" w:hAnsi="Arial" w:cs="Arial"/>
              </w:rPr>
              <w:t>Индивидуальных инвестиционных рекомендаций от имени Инвестиционного советника.</w:t>
            </w:r>
          </w:p>
          <w:p w:rsidR="002B666A" w:rsidRPr="00307D5D" w:rsidRDefault="002B666A" w:rsidP="002B666A">
            <w:pPr>
              <w:pStyle w:val="a7"/>
              <w:autoSpaceDE/>
              <w:autoSpaceDN/>
              <w:adjustRightInd/>
              <w:spacing w:before="120"/>
              <w:ind w:left="63"/>
              <w:jc w:val="both"/>
              <w:rPr>
                <w:rFonts w:ascii="Arial" w:hAnsi="Arial" w:cs="Arial"/>
              </w:rPr>
            </w:pPr>
          </w:p>
          <w:p w:rsidR="002B666A" w:rsidRPr="00307D5D" w:rsidRDefault="002B666A" w:rsidP="002B666A">
            <w:pPr>
              <w:pStyle w:val="a7"/>
              <w:autoSpaceDE/>
              <w:autoSpaceDN/>
              <w:adjustRightInd/>
              <w:spacing w:before="120"/>
              <w:ind w:left="63"/>
              <w:jc w:val="both"/>
              <w:rPr>
                <w:rFonts w:ascii="Arial" w:hAnsi="Arial" w:cs="Arial"/>
              </w:rPr>
            </w:pPr>
            <w:r w:rsidRPr="00307D5D">
              <w:rPr>
                <w:rFonts w:ascii="Arial" w:hAnsi="Arial" w:cs="Arial"/>
              </w:rPr>
              <w:t>Индивидуальная инвестиционная рекомендация, предоставленная Клиенту в форме электронного документа, содержащая фамилию и инициалы Инвестиционного консультанта Инвестиционного советника, уполномоченного на предоставление Индивидуальных инвестиционных рекомендаций, предоставленная по электронной почте и / или посредством сервиса «Личный кабинет», считается подписанной электронной подписью Инвестиционного консультанта Инвестиционного советника и приравнивается Сторонами к собственноручной подписи на документе на бумажном носителе.</w:t>
            </w:r>
          </w:p>
          <w:p w:rsidR="002B666A" w:rsidRPr="00307D5D" w:rsidRDefault="002B666A" w:rsidP="002B666A">
            <w:pPr>
              <w:autoSpaceDE/>
              <w:autoSpaceDN/>
              <w:adjustRightInd/>
              <w:spacing w:before="120"/>
              <w:ind w:left="63"/>
              <w:jc w:val="both"/>
              <w:rPr>
                <w:rFonts w:ascii="Arial" w:hAnsi="Arial" w:cs="Arial"/>
                <w:lang w:val="ru-RU"/>
              </w:rPr>
            </w:pPr>
            <w:r w:rsidRPr="00307D5D">
              <w:rPr>
                <w:rFonts w:ascii="Arial" w:hAnsi="Arial" w:cs="Arial"/>
                <w:lang w:val="ru-RU"/>
              </w:rPr>
              <w:t xml:space="preserve">Инвестиционный советник оставляет за собой право, по своему усмотрению, направлять Индивидуальные инвестиционные рекомендации и иные документы, подлежащие представлению Инвестиционным советником Клиенту по настоящему Договору в виде документа на бумажном носителе почтовым уведомлением на адрес Клиента, указанный в Договоре либо путем личного вручения документа Клиенту Инвестиционным консультантом Инвестиционного советника. В указанном случае, Индивидуальная инвестиционная рекомендация подписывается уполномоченным лицом Инвестиционного советника </w:t>
            </w:r>
          </w:p>
        </w:tc>
      </w:tr>
      <w:tr w:rsidR="002B666A" w:rsidRPr="00E26C43" w:rsidTr="002B666A">
        <w:trPr>
          <w:gridAfter w:val="1"/>
          <w:wAfter w:w="5245" w:type="dxa"/>
        </w:trPr>
        <w:tc>
          <w:tcPr>
            <w:tcW w:w="10666" w:type="dxa"/>
            <w:gridSpan w:val="4"/>
          </w:tcPr>
          <w:p w:rsidR="002B666A" w:rsidRPr="00307D5D" w:rsidRDefault="002B666A" w:rsidP="002B666A">
            <w:pPr>
              <w:pStyle w:val="a7"/>
              <w:widowControl/>
              <w:numPr>
                <w:ilvl w:val="1"/>
                <w:numId w:val="5"/>
              </w:numPr>
              <w:autoSpaceDE/>
              <w:autoSpaceDN/>
              <w:adjustRightInd/>
              <w:spacing w:before="120"/>
              <w:ind w:left="494"/>
              <w:contextualSpacing w:val="0"/>
              <w:jc w:val="both"/>
              <w:rPr>
                <w:rFonts w:ascii="Arial" w:hAnsi="Arial" w:cs="Arial"/>
              </w:rPr>
            </w:pPr>
            <w:r w:rsidRPr="00307D5D">
              <w:rPr>
                <w:rFonts w:ascii="Arial" w:hAnsi="Arial" w:cs="Arial"/>
              </w:rPr>
              <w:lastRenderedPageBreak/>
              <w:t xml:space="preserve">Инвестиционный советник не уполномочен управлять имуществом Клиента, действовать от его имени или в его интересах. Клиент самостоятельно и по собственному усмотрению принимает инвестиционные решения на основании полученных Индивидуальных инвестиционных рекомендаций.   </w:t>
            </w:r>
          </w:p>
          <w:p w:rsidR="002B666A" w:rsidRPr="00307D5D" w:rsidRDefault="002B666A" w:rsidP="002B666A">
            <w:pPr>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widowControl/>
              <w:numPr>
                <w:ilvl w:val="1"/>
                <w:numId w:val="5"/>
              </w:numPr>
              <w:autoSpaceDE/>
              <w:autoSpaceDN/>
              <w:adjustRightInd/>
              <w:spacing w:before="120"/>
              <w:ind w:left="494"/>
              <w:contextualSpacing w:val="0"/>
              <w:jc w:val="both"/>
              <w:rPr>
                <w:rFonts w:ascii="Arial" w:hAnsi="Arial" w:cs="Arial"/>
              </w:rPr>
            </w:pPr>
            <w:r w:rsidRPr="00307D5D">
              <w:rPr>
                <w:rFonts w:ascii="Arial" w:hAnsi="Arial" w:cs="Arial"/>
              </w:rPr>
              <w:t xml:space="preserve">Никакие положения настоящего Договора не ограничивают право Инвестиционного советника оказывать прочие инвестиционные и финансовые услуги </w:t>
            </w:r>
            <w:r w:rsidR="008C3B84">
              <w:rPr>
                <w:rFonts w:ascii="Arial" w:hAnsi="Arial" w:cs="Arial"/>
              </w:rPr>
              <w:t>К</w:t>
            </w:r>
            <w:r w:rsidRPr="00307D5D">
              <w:rPr>
                <w:rFonts w:ascii="Arial" w:hAnsi="Arial" w:cs="Arial"/>
              </w:rPr>
              <w:t>лиенту, любым прочим лицам или организациям.</w:t>
            </w:r>
          </w:p>
          <w:p w:rsidR="002B666A" w:rsidRPr="00307D5D" w:rsidRDefault="002B666A" w:rsidP="002B666A">
            <w:pPr>
              <w:pStyle w:val="a7"/>
              <w:ind w:left="510"/>
              <w:jc w:val="both"/>
              <w:rPr>
                <w:rFonts w:ascii="Arial" w:hAnsi="Arial" w:cs="Arial"/>
                <w:b/>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 xml:space="preserve">Права и обязанности Инвестиционного советника </w:t>
            </w:r>
          </w:p>
          <w:p w:rsidR="002B666A" w:rsidRPr="00307D5D" w:rsidRDefault="002B666A" w:rsidP="002B666A">
            <w:pPr>
              <w:pStyle w:val="a7"/>
              <w:widowControl/>
              <w:autoSpaceDE/>
              <w:autoSpaceDN/>
              <w:adjustRightInd/>
              <w:spacing w:before="120"/>
              <w:ind w:left="3551"/>
              <w:contextualSpacing w:val="0"/>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Инвестиционный советник обязуется оказывать услуги Инвестиционного консультирования в соответствии с законодательством РФ, нормативными актами Банка России, условиями Договора, а также в соответствии с Инвестиционным профилем Клиента</w:t>
            </w:r>
            <w:r w:rsidR="008C3B84">
              <w:rPr>
                <w:rFonts w:ascii="Arial" w:hAnsi="Arial" w:cs="Arial"/>
              </w:rPr>
              <w:t>.</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5"/>
              <w:jc w:val="both"/>
              <w:rPr>
                <w:rFonts w:ascii="Arial" w:hAnsi="Arial" w:cs="Arial"/>
              </w:rPr>
            </w:pPr>
            <w:r w:rsidRPr="00307D5D">
              <w:rPr>
                <w:rFonts w:ascii="Arial" w:hAnsi="Arial" w:cs="Arial"/>
              </w:rPr>
              <w:t>Инвестиционный советник обязуется предоставлять Клиенту Индивидуальные инвестиционные рекомендации, а также обязательные уведомления, в порядке и в сроки, предусмотренные нормативными актами и настоящим Договором.</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Инвестиционный советник вправе направлять Клиенту любыми способами аналитические материалы по рынку ценных бумаг в течение срока действия Договора.</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Инвестиционный советник вправе осуществлять текущее консультирование Клиента в сфере ценных бумаг посредством направления Клиенту консультаций/ информации по электронной почте, путем проведения телефонных переговоров/ конференций и личных встреч, организуемых по запросу Клиента, а также любым иным согласованным Сторонами способом. При этом, осуществление консультирования, предусмотренного в настоящем пункте, не является предоставлением Индивидуальной инвестиционной рекомендации.</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В целях исполнения обязательств по настоящему Договору Инвестиционный советник вправе получать от </w:t>
            </w:r>
            <w:r w:rsidRPr="00307D5D">
              <w:rPr>
                <w:rFonts w:ascii="Arial" w:hAnsi="Arial" w:cs="Arial"/>
              </w:rPr>
              <w:lastRenderedPageBreak/>
              <w:t>Клиента необходимые сведения и документы и снимать копии предоставленных Клиентом документов.</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lastRenderedPageBreak/>
              <w:t>Инвестиционный советник вправе направлять Клиенту СМС – сообщения на номер мобильного телефона указанный в Разделе 15 настоящего Договора.</w:t>
            </w:r>
          </w:p>
          <w:p w:rsidR="002B666A" w:rsidRPr="00307D5D" w:rsidRDefault="002B666A" w:rsidP="002B666A">
            <w:pPr>
              <w:pStyle w:val="a7"/>
              <w:ind w:left="489"/>
              <w:jc w:val="both"/>
              <w:rPr>
                <w:rFonts w:ascii="Arial" w:hAnsi="Arial" w:cs="Arial"/>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Права и обязанности Клиента</w:t>
            </w:r>
          </w:p>
          <w:p w:rsidR="002B666A" w:rsidRPr="00307D5D" w:rsidRDefault="002B666A" w:rsidP="002B666A">
            <w:pPr>
              <w:pStyle w:val="a7"/>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Клиент обязуется осуществлять оплату услуг Инвестиционного советника в порядке и сроки, предусмотренные настоящим Договором.</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Клиент обязуется предоставить Инвестиционному советнику необходимые сведения для определения Инвестиционного профиля и </w:t>
            </w:r>
            <w:r w:rsidR="00BC267D" w:rsidRPr="00307D5D">
              <w:rPr>
                <w:rFonts w:ascii="Arial" w:hAnsi="Arial" w:cs="Arial"/>
              </w:rPr>
              <w:t xml:space="preserve">предоставить </w:t>
            </w:r>
            <w:r w:rsidRPr="00307D5D">
              <w:rPr>
                <w:rFonts w:ascii="Arial" w:hAnsi="Arial" w:cs="Arial"/>
              </w:rPr>
              <w:t>согласие с ним до предоставления Инвестиционным советником Индивидуальных инвестиционных рекомендаций.</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Height w:val="807"/>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Клиент обязуется самостоятельно принимать инвестиционные решения на основании Индивидуальных инвестиционных рекомендаций, полученных от Инвестиционного советника.</w:t>
            </w:r>
          </w:p>
        </w:tc>
      </w:tr>
      <w:tr w:rsidR="002B666A" w:rsidRPr="00E26C43" w:rsidTr="002B666A">
        <w:trPr>
          <w:gridAfter w:val="1"/>
          <w:wAfter w:w="5245" w:type="dxa"/>
          <w:trHeight w:val="807"/>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Клиент обязуется направить Инвестиционному советнику уведомление об изменении реквизитов, указанных в Разделе 15 настоящего Договора, в том числе об изменении персональных данных, в срок не позднее 10 (Десять) рабочих дней с даты соответствующих изменений.</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Height w:val="807"/>
        </w:trPr>
        <w:tc>
          <w:tcPr>
            <w:tcW w:w="10666" w:type="dxa"/>
            <w:gridSpan w:val="4"/>
          </w:tcPr>
          <w:p w:rsidR="002B666A" w:rsidRDefault="002B666A" w:rsidP="0063011C">
            <w:pPr>
              <w:pStyle w:val="a7"/>
              <w:numPr>
                <w:ilvl w:val="1"/>
                <w:numId w:val="5"/>
              </w:numPr>
              <w:ind w:left="489" w:hanging="426"/>
              <w:jc w:val="both"/>
              <w:rPr>
                <w:rFonts w:ascii="Arial" w:hAnsi="Arial" w:cs="Arial"/>
              </w:rPr>
            </w:pPr>
            <w:r w:rsidRPr="00307D5D">
              <w:rPr>
                <w:rFonts w:ascii="Arial" w:hAnsi="Arial" w:cs="Arial"/>
              </w:rPr>
              <w:t xml:space="preserve">Клиент обязуется представить документы, подтверждающие налоговый статус Клиента - резидента/нерезидента, в том числе в случае изменения указанного статуса, а также по запросу Инвестиционного советника, в срок </w:t>
            </w:r>
            <w:r w:rsidR="00583168">
              <w:rPr>
                <w:rFonts w:ascii="Arial" w:hAnsi="Arial" w:cs="Arial"/>
              </w:rPr>
              <w:t xml:space="preserve">не </w:t>
            </w:r>
            <w:r w:rsidRPr="00307D5D">
              <w:rPr>
                <w:rFonts w:ascii="Arial" w:hAnsi="Arial" w:cs="Arial"/>
              </w:rPr>
              <w:t>позднее 10 (</w:t>
            </w:r>
            <w:r w:rsidR="000848FC" w:rsidRPr="00307D5D">
              <w:rPr>
                <w:rFonts w:ascii="Arial" w:hAnsi="Arial" w:cs="Arial"/>
              </w:rPr>
              <w:t>Десят</w:t>
            </w:r>
            <w:r w:rsidR="000848FC">
              <w:rPr>
                <w:rFonts w:ascii="Arial" w:hAnsi="Arial" w:cs="Arial"/>
              </w:rPr>
              <w:t>и</w:t>
            </w:r>
            <w:r w:rsidRPr="00307D5D">
              <w:rPr>
                <w:rFonts w:ascii="Arial" w:hAnsi="Arial" w:cs="Arial"/>
              </w:rPr>
              <w:t>) рабочих дней с даты</w:t>
            </w:r>
            <w:r w:rsidR="000848FC">
              <w:rPr>
                <w:rFonts w:ascii="Arial" w:hAnsi="Arial" w:cs="Arial"/>
              </w:rPr>
              <w:t xml:space="preserve"> заключения настоящего Договора либо в течение 10 (Десяти) рабочих дней с даты изменения статуса</w:t>
            </w:r>
            <w:r w:rsidRPr="00307D5D">
              <w:rPr>
                <w:rFonts w:ascii="Arial" w:hAnsi="Arial" w:cs="Arial"/>
              </w:rPr>
              <w:t>.</w:t>
            </w:r>
          </w:p>
          <w:p w:rsidR="00583168" w:rsidRPr="00307D5D" w:rsidRDefault="00583168" w:rsidP="007E62FC">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Default="002B666A" w:rsidP="002B666A">
            <w:pPr>
              <w:pStyle w:val="a7"/>
              <w:numPr>
                <w:ilvl w:val="1"/>
                <w:numId w:val="5"/>
              </w:numPr>
              <w:ind w:left="489" w:hanging="426"/>
              <w:jc w:val="both"/>
              <w:rPr>
                <w:rFonts w:ascii="Arial" w:hAnsi="Arial" w:cs="Arial"/>
              </w:rPr>
            </w:pPr>
            <w:r w:rsidRPr="00307D5D">
              <w:rPr>
                <w:rFonts w:ascii="Arial" w:hAnsi="Arial" w:cs="Arial"/>
              </w:rPr>
              <w:t>Клиент вправе отказаться от исполнения Договора до истечения срока его действия при условии выплаты Инвестиционному советнику Вознаграждения за период до даты прекращения Договора, письменно уведомив Консультанта (по почтовому адресу, указанному в Разделе 15 настоящего Договора, либо посредством вручения в ходе личной встречи) не менее чем за 30 (Тридцать) календарных дней до даты прекращения Договора.</w:t>
            </w:r>
          </w:p>
          <w:p w:rsidR="002B666A" w:rsidRPr="00307D5D" w:rsidRDefault="002B666A" w:rsidP="002B666A">
            <w:pPr>
              <w:pStyle w:val="a7"/>
              <w:ind w:left="792"/>
              <w:jc w:val="both"/>
              <w:rPr>
                <w:rFonts w:ascii="Arial" w:hAnsi="Arial" w:cs="Arial"/>
              </w:rPr>
            </w:pPr>
          </w:p>
          <w:p w:rsidR="00371CEF" w:rsidRPr="00307D5D" w:rsidRDefault="00371CEF" w:rsidP="00371CEF">
            <w:pPr>
              <w:pStyle w:val="a7"/>
              <w:numPr>
                <w:ilvl w:val="1"/>
                <w:numId w:val="5"/>
              </w:numPr>
              <w:ind w:left="489" w:hanging="426"/>
              <w:jc w:val="both"/>
              <w:rPr>
                <w:rFonts w:ascii="Arial" w:hAnsi="Arial" w:cs="Arial"/>
              </w:rPr>
            </w:pPr>
            <w:r>
              <w:rPr>
                <w:rFonts w:ascii="Arial" w:hAnsi="Arial" w:cs="Arial"/>
              </w:rPr>
              <w:t>Клиент не вправе передавать свои п</w:t>
            </w:r>
            <w:r w:rsidRPr="00307D5D">
              <w:rPr>
                <w:rFonts w:ascii="Arial" w:hAnsi="Arial" w:cs="Arial"/>
              </w:rPr>
              <w:t>рав</w:t>
            </w:r>
            <w:r>
              <w:rPr>
                <w:rFonts w:ascii="Arial" w:hAnsi="Arial" w:cs="Arial"/>
              </w:rPr>
              <w:t>а</w:t>
            </w:r>
            <w:r w:rsidRPr="00307D5D">
              <w:rPr>
                <w:rFonts w:ascii="Arial" w:hAnsi="Arial" w:cs="Arial"/>
              </w:rPr>
              <w:t xml:space="preserve"> и обязаннос</w:t>
            </w:r>
            <w:r>
              <w:rPr>
                <w:rFonts w:ascii="Arial" w:hAnsi="Arial" w:cs="Arial"/>
              </w:rPr>
              <w:t>ти</w:t>
            </w:r>
            <w:r w:rsidRPr="00307D5D">
              <w:rPr>
                <w:rFonts w:ascii="Arial" w:hAnsi="Arial" w:cs="Arial"/>
              </w:rPr>
              <w:t xml:space="preserve"> по настоящему Договору </w:t>
            </w:r>
            <w:r>
              <w:rPr>
                <w:rFonts w:ascii="Arial" w:hAnsi="Arial" w:cs="Arial"/>
              </w:rPr>
              <w:t>третьим лицам</w:t>
            </w:r>
            <w:r w:rsidRPr="00307D5D">
              <w:rPr>
                <w:rFonts w:ascii="Arial" w:hAnsi="Arial" w:cs="Arial"/>
              </w:rPr>
              <w:t>.</w:t>
            </w:r>
          </w:p>
          <w:p w:rsidR="002B666A" w:rsidRPr="00307D5D" w:rsidRDefault="002B666A" w:rsidP="002B666A">
            <w:pPr>
              <w:pStyle w:val="a7"/>
              <w:tabs>
                <w:tab w:val="left" w:pos="742"/>
              </w:tabs>
              <w:ind w:left="360"/>
              <w:jc w:val="both"/>
              <w:rPr>
                <w:rFonts w:ascii="Arial" w:hAnsi="Arial" w:cs="Arial"/>
                <w:b/>
              </w:rPr>
            </w:pPr>
          </w:p>
        </w:tc>
      </w:tr>
      <w:tr w:rsidR="002B666A" w:rsidRPr="00307D5D" w:rsidTr="002B666A">
        <w:trPr>
          <w:gridAfter w:val="1"/>
          <w:wAfter w:w="5245" w:type="dxa"/>
        </w:trPr>
        <w:tc>
          <w:tcPr>
            <w:tcW w:w="10666" w:type="dxa"/>
            <w:gridSpan w:val="4"/>
          </w:tcPr>
          <w:p w:rsidR="00371CEF" w:rsidRPr="007E62FC" w:rsidRDefault="00371CEF" w:rsidP="007E62FC">
            <w:pPr>
              <w:jc w:val="both"/>
              <w:rPr>
                <w:rFonts w:ascii="Arial" w:hAnsi="Arial" w:cs="Arial"/>
                <w:b/>
                <w:lang w:val="ru-RU"/>
              </w:rPr>
            </w:pPr>
          </w:p>
          <w:p w:rsidR="002B666A" w:rsidRPr="007E62FC" w:rsidRDefault="002B666A" w:rsidP="009A2811">
            <w:pPr>
              <w:pStyle w:val="a7"/>
              <w:numPr>
                <w:ilvl w:val="0"/>
                <w:numId w:val="5"/>
              </w:numPr>
              <w:jc w:val="both"/>
              <w:rPr>
                <w:rFonts w:ascii="Arial" w:hAnsi="Arial" w:cs="Arial"/>
                <w:b/>
              </w:rPr>
            </w:pPr>
            <w:r w:rsidRPr="007E62FC">
              <w:rPr>
                <w:rFonts w:ascii="Arial" w:hAnsi="Arial" w:cs="Arial"/>
                <w:b/>
              </w:rPr>
              <w:t xml:space="preserve">Вознаграждение Инвестиционного советника </w:t>
            </w:r>
          </w:p>
          <w:p w:rsidR="002B666A" w:rsidRPr="00307D5D" w:rsidDel="00E44581"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За услуги, оказанные по настоящему Договору, Клиент выплачивает Инвестиционному советнику вознаграждение в размере и порядке, </w:t>
            </w:r>
            <w:r w:rsidR="009A2811">
              <w:rPr>
                <w:rFonts w:ascii="Arial" w:hAnsi="Arial" w:cs="Arial"/>
              </w:rPr>
              <w:t>установленными настоящим Договором</w:t>
            </w:r>
            <w:r w:rsidRPr="00307D5D">
              <w:rPr>
                <w:rFonts w:ascii="Arial" w:hAnsi="Arial" w:cs="Arial"/>
              </w:rPr>
              <w:t>.</w:t>
            </w:r>
          </w:p>
          <w:p w:rsidR="002B666A" w:rsidRPr="00307D5D" w:rsidRDefault="002B666A" w:rsidP="002B666A">
            <w:pPr>
              <w:widowControl w:val="0"/>
              <w:overflowPunct/>
              <w:ind w:left="489"/>
              <w:contextualSpacing/>
              <w:jc w:val="both"/>
              <w:textAlignment w:val="auto"/>
              <w:rPr>
                <w:rFonts w:ascii="Arial" w:hAnsi="Arial" w:cs="Arial"/>
                <w:lang w:val="ru-RU"/>
              </w:rPr>
            </w:pPr>
          </w:p>
        </w:tc>
      </w:tr>
      <w:tr w:rsidR="009A2811" w:rsidRPr="00E26C43" w:rsidTr="002B666A">
        <w:trPr>
          <w:gridAfter w:val="1"/>
          <w:wAfter w:w="5245" w:type="dxa"/>
        </w:trPr>
        <w:tc>
          <w:tcPr>
            <w:tcW w:w="10666" w:type="dxa"/>
            <w:gridSpan w:val="4"/>
          </w:tcPr>
          <w:p w:rsidR="009A2811" w:rsidRPr="00307D5D" w:rsidRDefault="009A2811" w:rsidP="009A2811">
            <w:pPr>
              <w:pStyle w:val="a7"/>
              <w:numPr>
                <w:ilvl w:val="1"/>
                <w:numId w:val="5"/>
              </w:numPr>
              <w:ind w:left="489" w:hanging="426"/>
              <w:jc w:val="both"/>
              <w:rPr>
                <w:rFonts w:ascii="Arial" w:hAnsi="Arial" w:cs="Arial"/>
              </w:rPr>
            </w:pPr>
            <w:r w:rsidRPr="00307D5D">
              <w:rPr>
                <w:rFonts w:ascii="Arial" w:hAnsi="Arial" w:cs="Arial"/>
              </w:rPr>
              <w:t xml:space="preserve">Вознаграждение за Инвестиционное консультирование составляет </w:t>
            </w:r>
            <w:r w:rsidRPr="00307D5D">
              <w:fldChar w:fldCharType="begin">
                <w:ffData>
                  <w:name w:val="ТекстовоеПоле1"/>
                  <w:enabled/>
                  <w:calcOnExit w:val="0"/>
                  <w:textInput/>
                </w:ffData>
              </w:fldChar>
            </w:r>
            <w:r w:rsidRPr="00307D5D">
              <w:instrText xml:space="preserve"> FORMTEXT </w:instrText>
            </w:r>
            <w:r w:rsidRPr="00307D5D">
              <w:fldChar w:fldCharType="separate"/>
            </w:r>
            <w:r w:rsidRPr="00307D5D">
              <w:t> </w:t>
            </w:r>
            <w:r w:rsidRPr="00307D5D">
              <w:t> </w:t>
            </w:r>
            <w:r w:rsidRPr="00307D5D">
              <w:t> </w:t>
            </w:r>
            <w:r w:rsidRPr="00307D5D">
              <w:t> </w:t>
            </w:r>
            <w:r w:rsidRPr="00307D5D">
              <w:t> </w:t>
            </w:r>
            <w:r w:rsidRPr="00307D5D">
              <w:fldChar w:fldCharType="end"/>
            </w:r>
            <w:r w:rsidRPr="00307D5D">
              <w:rPr>
                <w:rFonts w:ascii="Arial" w:hAnsi="Arial" w:cs="Arial"/>
              </w:rPr>
              <w:t>, за квартал (далее также «Отчетный период»).</w:t>
            </w:r>
          </w:p>
          <w:p w:rsidR="009A2811" w:rsidRPr="00307D5D" w:rsidRDefault="009A2811" w:rsidP="009A2811">
            <w:pPr>
              <w:pStyle w:val="a3"/>
              <w:spacing w:after="0"/>
              <w:jc w:val="both"/>
              <w:rPr>
                <w:rFonts w:ascii="Arial" w:hAnsi="Arial" w:cs="Arial"/>
                <w:lang w:val="ru-RU"/>
              </w:rPr>
            </w:pPr>
          </w:p>
          <w:p w:rsidR="009A2811" w:rsidRPr="00307D5D" w:rsidRDefault="009A2811" w:rsidP="0054667F">
            <w:pPr>
              <w:pStyle w:val="a7"/>
              <w:numPr>
                <w:ilvl w:val="1"/>
                <w:numId w:val="5"/>
              </w:numPr>
              <w:ind w:left="489" w:hanging="426"/>
              <w:jc w:val="both"/>
              <w:rPr>
                <w:rFonts w:ascii="Arial" w:hAnsi="Arial" w:cs="Arial"/>
                <w:b/>
              </w:rPr>
            </w:pPr>
            <w:r w:rsidRPr="00307D5D">
              <w:rPr>
                <w:rFonts w:ascii="Arial" w:hAnsi="Arial" w:cs="Arial"/>
              </w:rPr>
              <w:t xml:space="preserve">Вознаграждение за Инвестиционное консультирование рассчитывается, начисляется ежеквартально и выплачивается в конце каждого квартала. Вознаграждение выплачивается </w:t>
            </w:r>
            <w:r w:rsidRPr="00307D5D">
              <w:rPr>
                <w:rFonts w:ascii="Arial" w:hAnsi="Arial" w:cs="Arial"/>
              </w:rPr>
              <w:fldChar w:fldCharType="begin">
                <w:ffData>
                  <w:name w:val="ТекстовоеПоле1"/>
                  <w:enabled/>
                  <w:calcOnExit w:val="0"/>
                  <w:textInput/>
                </w:ffData>
              </w:fldChar>
            </w:r>
            <w:r w:rsidRPr="00307D5D">
              <w:rPr>
                <w:rFonts w:ascii="Arial" w:hAnsi="Arial" w:cs="Arial"/>
              </w:rPr>
              <w:instrText xml:space="preserve"> FORMTEXT </w:instrText>
            </w:r>
            <w:r w:rsidRPr="00307D5D">
              <w:rPr>
                <w:rFonts w:ascii="Arial" w:hAnsi="Arial" w:cs="Arial"/>
              </w:rPr>
            </w:r>
            <w:r w:rsidRPr="00307D5D">
              <w:rPr>
                <w:rFonts w:ascii="Arial" w:hAnsi="Arial" w:cs="Arial"/>
              </w:rPr>
              <w:fldChar w:fldCharType="separate"/>
            </w:r>
            <w:r w:rsidRPr="00307D5D">
              <w:rPr>
                <w:rFonts w:ascii="Arial" w:hAnsi="Arial" w:cs="Arial"/>
              </w:rPr>
              <w:t>в рублях по курсу, установленному Банком России на последний день соответствующего Отчетного периода</w:t>
            </w:r>
            <w:r w:rsidRPr="00307D5D">
              <w:rPr>
                <w:rFonts w:ascii="Arial" w:hAnsi="Arial" w:cs="Arial"/>
              </w:rPr>
              <w:fldChar w:fldCharType="end"/>
            </w:r>
          </w:p>
        </w:tc>
      </w:tr>
      <w:tr w:rsidR="009A2811" w:rsidRPr="00E26C43" w:rsidTr="002B666A">
        <w:trPr>
          <w:gridAfter w:val="1"/>
          <w:wAfter w:w="5245" w:type="dxa"/>
        </w:trPr>
        <w:tc>
          <w:tcPr>
            <w:tcW w:w="10666" w:type="dxa"/>
            <w:gridSpan w:val="4"/>
          </w:tcPr>
          <w:p w:rsidR="009A2811" w:rsidRPr="00307D5D" w:rsidRDefault="009A2811" w:rsidP="009A2811">
            <w:pPr>
              <w:jc w:val="both"/>
              <w:rPr>
                <w:rFonts w:ascii="Arial" w:hAnsi="Arial" w:cs="Arial"/>
                <w:lang w:val="ru-RU"/>
              </w:rPr>
            </w:pPr>
          </w:p>
        </w:tc>
      </w:tr>
      <w:tr w:rsidR="009A2811" w:rsidRPr="00E26C43" w:rsidTr="002B666A">
        <w:trPr>
          <w:gridAfter w:val="1"/>
          <w:wAfter w:w="5245" w:type="dxa"/>
        </w:trPr>
        <w:tc>
          <w:tcPr>
            <w:tcW w:w="10666" w:type="dxa"/>
            <w:gridSpan w:val="4"/>
          </w:tcPr>
          <w:p w:rsidR="009A2811" w:rsidRDefault="009A2811" w:rsidP="009A2811">
            <w:pPr>
              <w:pStyle w:val="a7"/>
              <w:numPr>
                <w:ilvl w:val="1"/>
                <w:numId w:val="5"/>
              </w:numPr>
              <w:ind w:left="489" w:hanging="426"/>
              <w:jc w:val="both"/>
              <w:rPr>
                <w:rFonts w:ascii="Arial" w:hAnsi="Arial" w:cs="Arial"/>
              </w:rPr>
            </w:pPr>
            <w:r w:rsidRPr="00665B16">
              <w:rPr>
                <w:rFonts w:ascii="Arial" w:hAnsi="Arial" w:cs="Arial"/>
              </w:rPr>
              <w:t>Вознаграждение включает в себя налог на добавленную стоимость по ставке, предусмотренной действующим законодательством Российской Федерации.</w:t>
            </w:r>
          </w:p>
          <w:p w:rsidR="009A2811" w:rsidRPr="00B12339" w:rsidRDefault="009A2811" w:rsidP="009A2811">
            <w:pPr>
              <w:pStyle w:val="a3"/>
              <w:spacing w:after="0"/>
              <w:jc w:val="both"/>
              <w:rPr>
                <w:rFonts w:ascii="Arial" w:hAnsi="Arial" w:cs="Arial"/>
                <w:lang w:val="ru-RU"/>
              </w:rPr>
            </w:pPr>
          </w:p>
        </w:tc>
      </w:tr>
      <w:tr w:rsidR="009A2811" w:rsidRPr="00E26C43" w:rsidTr="002B666A">
        <w:trPr>
          <w:gridAfter w:val="1"/>
          <w:wAfter w:w="5245" w:type="dxa"/>
        </w:trPr>
        <w:tc>
          <w:tcPr>
            <w:tcW w:w="10666" w:type="dxa"/>
            <w:gridSpan w:val="4"/>
          </w:tcPr>
          <w:p w:rsidR="009A2811" w:rsidRPr="00307D5D" w:rsidRDefault="009A2811" w:rsidP="009A2811">
            <w:pPr>
              <w:pStyle w:val="a7"/>
              <w:numPr>
                <w:ilvl w:val="1"/>
                <w:numId w:val="5"/>
              </w:numPr>
              <w:ind w:left="489" w:hanging="426"/>
              <w:jc w:val="both"/>
              <w:rPr>
                <w:rFonts w:ascii="Arial" w:hAnsi="Arial" w:cs="Arial"/>
              </w:rPr>
            </w:pPr>
            <w:r w:rsidRPr="00307D5D">
              <w:rPr>
                <w:rFonts w:ascii="Arial" w:hAnsi="Arial" w:cs="Arial"/>
              </w:rPr>
              <w:t>Если дата заключения настоящего Договора приходится на любой иной день кроме дня начала Отчетного периода, сумма первоначального Вознаграждения за Инвестиционное консультирование (далее – «Первоначальное вознаграждение за Инвестиционное консультирование») рассчитывается пропорционально фактическому количеству дней, прошедших со дня заключения настоящего Договора до последнего дня соответствующего Отчетного периода (включительно).</w:t>
            </w:r>
          </w:p>
          <w:p w:rsidR="009A2811" w:rsidRPr="00307D5D" w:rsidRDefault="009A2811" w:rsidP="009A2811">
            <w:pPr>
              <w:pStyle w:val="a3"/>
              <w:spacing w:after="0"/>
              <w:jc w:val="both"/>
              <w:rPr>
                <w:rFonts w:ascii="Arial" w:hAnsi="Arial" w:cs="Arial"/>
                <w:lang w:val="ru-RU"/>
              </w:rPr>
            </w:pPr>
          </w:p>
        </w:tc>
      </w:tr>
      <w:tr w:rsidR="009A2811" w:rsidRPr="00E26C43" w:rsidTr="002B666A">
        <w:trPr>
          <w:gridAfter w:val="1"/>
          <w:wAfter w:w="5245" w:type="dxa"/>
        </w:trPr>
        <w:tc>
          <w:tcPr>
            <w:tcW w:w="10666" w:type="dxa"/>
            <w:gridSpan w:val="4"/>
          </w:tcPr>
          <w:p w:rsidR="009A2811" w:rsidRPr="00307D5D" w:rsidRDefault="009A2811" w:rsidP="009A2811">
            <w:pPr>
              <w:pStyle w:val="a7"/>
              <w:numPr>
                <w:ilvl w:val="1"/>
                <w:numId w:val="5"/>
              </w:numPr>
              <w:ind w:left="489" w:hanging="426"/>
              <w:jc w:val="both"/>
              <w:rPr>
                <w:rFonts w:ascii="Arial" w:hAnsi="Arial" w:cs="Arial"/>
              </w:rPr>
            </w:pPr>
            <w:r w:rsidRPr="00307D5D">
              <w:rPr>
                <w:rFonts w:ascii="Arial" w:hAnsi="Arial" w:cs="Arial"/>
              </w:rPr>
              <w:t>Если настоящий Договор расторгается до окончания Отчетного периода, в котором Клиенту не предоставлялись Индивидуальные инвестиционные рекомендации, то Вознаграждение за Инвестиционное консультирование за указанный Отчетный период не взимается.</w:t>
            </w:r>
          </w:p>
          <w:p w:rsidR="009A2811" w:rsidRPr="00307D5D" w:rsidRDefault="009A2811" w:rsidP="009A2811">
            <w:pPr>
              <w:pStyle w:val="a3"/>
              <w:spacing w:after="0"/>
              <w:jc w:val="both"/>
              <w:rPr>
                <w:rFonts w:ascii="Arial" w:hAnsi="Arial" w:cs="Arial"/>
                <w:lang w:val="ru-RU"/>
              </w:rPr>
            </w:pPr>
          </w:p>
          <w:p w:rsidR="009A2811" w:rsidRPr="00307D5D" w:rsidRDefault="009A2811" w:rsidP="009A2811">
            <w:pPr>
              <w:pStyle w:val="a3"/>
              <w:spacing w:after="0"/>
              <w:jc w:val="both"/>
              <w:rPr>
                <w:rFonts w:ascii="Arial" w:hAnsi="Arial" w:cs="Arial"/>
                <w:lang w:val="ru-RU"/>
              </w:rPr>
            </w:pPr>
          </w:p>
          <w:p w:rsidR="009A2811" w:rsidRPr="00307D5D" w:rsidRDefault="009A2811" w:rsidP="009A2811">
            <w:pPr>
              <w:pStyle w:val="a3"/>
              <w:spacing w:after="0"/>
              <w:jc w:val="both"/>
              <w:rPr>
                <w:rFonts w:ascii="Arial" w:hAnsi="Arial" w:cs="Arial"/>
                <w:lang w:val="ru-RU"/>
              </w:rPr>
            </w:pPr>
          </w:p>
        </w:tc>
      </w:tr>
      <w:tr w:rsidR="002B666A" w:rsidRPr="00E26C43" w:rsidTr="002B666A">
        <w:trPr>
          <w:gridAfter w:val="1"/>
          <w:wAfter w:w="5245" w:type="dxa"/>
          <w:trHeight w:val="1065"/>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lastRenderedPageBreak/>
              <w:t xml:space="preserve">Вознаграждение выплачивается Инвестиционному советнику на </w:t>
            </w:r>
            <w:r w:rsidRPr="00665B16">
              <w:rPr>
                <w:rFonts w:ascii="Arial" w:hAnsi="Arial" w:cs="Arial"/>
              </w:rPr>
              <w:t>основании акта об оказанных услугах по форме, представленной Инвестиционным советником (далее – Акт),</w:t>
            </w:r>
            <w:r w:rsidRPr="00307D5D">
              <w:rPr>
                <w:rFonts w:ascii="Arial" w:hAnsi="Arial" w:cs="Arial"/>
              </w:rPr>
              <w:t xml:space="preserve"> путем безналичного перевода денежных средств на его банковский счет, указанный в Разделе 15 настоящего Договора, в течение 20 (Двадцати) банковских дней со дня надлежащего согласования Сторонами Акта.</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В течение 10 (Десяти) рабочих дней со дня окончания каждого квартала Инвестиционный советник подписывает и направляет Клиенту Акт в двух экземплярах. В случае если в течение 5 (пяти) рабочих дней с момента получения Клиентом Акта последний не будет подписан Клиентом, и Клиент не представит в письменной форме возражений по нему, подписанный Инвестиционным советником Акт считается </w:t>
            </w:r>
            <w:proofErr w:type="gramStart"/>
            <w:r w:rsidRPr="00307D5D">
              <w:rPr>
                <w:rFonts w:ascii="Arial" w:hAnsi="Arial" w:cs="Arial"/>
              </w:rPr>
              <w:t>надлежащим образом</w:t>
            </w:r>
            <w:proofErr w:type="gramEnd"/>
            <w:r w:rsidRPr="00307D5D">
              <w:rPr>
                <w:rFonts w:ascii="Arial" w:hAnsi="Arial" w:cs="Arial"/>
              </w:rPr>
              <w:t xml:space="preserve"> согласованным Сторонами.</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Вознаграждение считается выплаченным надлежащим образом в момент поступления денежных средств на расчетный счет Инвестиционного советника. </w:t>
            </w:r>
          </w:p>
          <w:p w:rsidR="002B666A" w:rsidRPr="00307D5D" w:rsidRDefault="002B666A" w:rsidP="002B666A">
            <w:pPr>
              <w:ind w:left="-25"/>
              <w:jc w:val="both"/>
              <w:rPr>
                <w:rFonts w:ascii="Arial" w:hAnsi="Arial" w:cs="Arial"/>
                <w:lang w:val="ru-RU"/>
              </w:rPr>
            </w:pPr>
          </w:p>
        </w:tc>
      </w:tr>
      <w:tr w:rsidR="002B666A" w:rsidRPr="00E26C43" w:rsidTr="002B666A">
        <w:trPr>
          <w:gridAfter w:val="1"/>
          <w:wAfter w:w="5245" w:type="dxa"/>
          <w:trHeight w:val="833"/>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В случае ненадлежащего исполнения Клиентом своих обязательств по выплате Вознаграждения</w:t>
            </w:r>
            <w:r w:rsidR="00583168">
              <w:rPr>
                <w:rFonts w:ascii="Arial" w:hAnsi="Arial" w:cs="Arial"/>
              </w:rPr>
              <w:t>,</w:t>
            </w:r>
            <w:r w:rsidRPr="00307D5D">
              <w:rPr>
                <w:rFonts w:ascii="Arial" w:hAnsi="Arial" w:cs="Arial"/>
              </w:rPr>
              <w:t xml:space="preserve"> Инвестиционный советник вправе по своему выбору потребовать уплаты установленных законодательством РФ процентов за каждый день просрочки вплоть до даты фактического платежа, приостановить оказание услуг по настоящему Договору вплоть до даты фактического платежа и/или </w:t>
            </w:r>
            <w:r w:rsidR="00583168">
              <w:rPr>
                <w:rFonts w:ascii="Arial" w:hAnsi="Arial" w:cs="Arial"/>
              </w:rPr>
              <w:t xml:space="preserve">отказаться </w:t>
            </w:r>
            <w:r w:rsidRPr="00307D5D">
              <w:rPr>
                <w:rFonts w:ascii="Arial" w:hAnsi="Arial" w:cs="Arial"/>
              </w:rPr>
              <w:t>в одностороннем порядке от исполнения Договор</w:t>
            </w:r>
            <w:r w:rsidR="00583168">
              <w:rPr>
                <w:rFonts w:ascii="Arial" w:hAnsi="Arial" w:cs="Arial"/>
              </w:rPr>
              <w:t>а</w:t>
            </w:r>
            <w:r w:rsidRPr="00307D5D">
              <w:rPr>
                <w:rFonts w:ascii="Arial" w:hAnsi="Arial" w:cs="Arial"/>
              </w:rPr>
              <w:t xml:space="preserve">, направив уведомление за </w:t>
            </w:r>
            <w:r w:rsidR="00583168">
              <w:rPr>
                <w:rFonts w:ascii="Arial" w:hAnsi="Arial" w:cs="Arial"/>
              </w:rPr>
              <w:t xml:space="preserve">14 (Четырнадцать) рабочих </w:t>
            </w:r>
            <w:r w:rsidRPr="00307D5D">
              <w:rPr>
                <w:rFonts w:ascii="Arial" w:hAnsi="Arial" w:cs="Arial"/>
              </w:rPr>
              <w:t xml:space="preserve"> дней до даты прекращения Договора.</w:t>
            </w:r>
          </w:p>
          <w:p w:rsidR="002B666A" w:rsidRPr="00307D5D" w:rsidRDefault="002B666A" w:rsidP="002B666A">
            <w:pPr>
              <w:widowControl w:val="0"/>
              <w:overflowPunct/>
              <w:ind w:left="720"/>
              <w:contextualSpacing/>
              <w:jc w:val="both"/>
              <w:textAlignment w:val="auto"/>
              <w:rPr>
                <w:rFonts w:ascii="Arial" w:hAnsi="Arial" w:cs="Arial"/>
                <w:lang w:val="ru-RU"/>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Ответственность Сторон</w:t>
            </w:r>
          </w:p>
          <w:p w:rsidR="002B666A" w:rsidRPr="00307D5D" w:rsidRDefault="002B666A" w:rsidP="002B666A">
            <w:pPr>
              <w:tabs>
                <w:tab w:val="left" w:pos="742"/>
              </w:tabs>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При исполнении настоящего Договора Стороны несут друг перед другом ответственность в соответствии с действующим законодательством РФ и настоящим Договором.</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4C5675" w:rsidRDefault="002B666A" w:rsidP="004C5675">
            <w:pPr>
              <w:pStyle w:val="a7"/>
              <w:numPr>
                <w:ilvl w:val="1"/>
                <w:numId w:val="5"/>
              </w:numPr>
              <w:ind w:left="489" w:hanging="426"/>
              <w:jc w:val="both"/>
              <w:rPr>
                <w:rFonts w:ascii="Arial" w:hAnsi="Arial" w:cs="Arial"/>
              </w:rPr>
            </w:pPr>
            <w:r w:rsidRPr="004C5675">
              <w:rPr>
                <w:rFonts w:ascii="Arial" w:hAnsi="Arial" w:cs="Arial"/>
              </w:rPr>
              <w:t>Инвестиционный советник не несет ответственности за принятые Клиентом на основании Инвестиционного консультирования инвестиционные решения и их экономические последствия (включая возможные убытки), если такие последствия не были вызваны виновными действиями Инвестиционного советника. Инвестиционный советник не может гарантировать и не гарантирует, что Клиент получит прибыль, и Стороны соглашаются, что Инвестиционный советник не будет нести ответственность за возможные убытки Клиента, связанные с реализацией рисков инвестирования на рынке ценных бумаг (включая любое снижение стоимости любых активов, приобретенных, проданных или находящихся в инвестиционном портфеле Клиента). Инвестиционный советник не дает заверений и гарантий, что инвестирование завершится получением прибыли Клиентом, и что Клиент не понесет убытков либо такие убытки будут ограничены.</w:t>
            </w:r>
          </w:p>
          <w:p w:rsidR="002B666A" w:rsidRPr="00307D5D" w:rsidRDefault="002B666A" w:rsidP="002B666A">
            <w:pPr>
              <w:widowControl w:val="0"/>
              <w:overflowPunct/>
              <w:ind w:left="489"/>
              <w:contextualSpacing/>
              <w:jc w:val="both"/>
              <w:textAlignment w:val="auto"/>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Инвестиционный советник не несет ответственности за последующее поведение инвестиций, осуществленных Клиентом не на основе Индивидуальных инвестиционных рекомендаций (в том числе возможные убытки), включая, но не ограничиваясь:</w:t>
            </w:r>
          </w:p>
          <w:p w:rsidR="002B666A" w:rsidRPr="00307D5D" w:rsidRDefault="002B666A" w:rsidP="002B666A">
            <w:pPr>
              <w:pStyle w:val="a7"/>
              <w:numPr>
                <w:ilvl w:val="0"/>
                <w:numId w:val="12"/>
              </w:numPr>
              <w:jc w:val="both"/>
              <w:rPr>
                <w:rFonts w:ascii="Arial" w:hAnsi="Arial" w:cs="Arial"/>
              </w:rPr>
            </w:pPr>
            <w:r w:rsidRPr="00307D5D">
              <w:rPr>
                <w:rFonts w:ascii="Arial" w:hAnsi="Arial" w:cs="Arial"/>
              </w:rPr>
              <w:t>Инвестиции, предложенные Клиентом и оцененные Инвестиционным советником в качестве неразумных для рассмотрения и осуществления и</w:t>
            </w:r>
          </w:p>
          <w:p w:rsidR="002B666A" w:rsidRPr="00307D5D" w:rsidRDefault="002B666A" w:rsidP="002B666A">
            <w:pPr>
              <w:pStyle w:val="a7"/>
              <w:numPr>
                <w:ilvl w:val="0"/>
                <w:numId w:val="12"/>
              </w:numPr>
              <w:jc w:val="both"/>
              <w:rPr>
                <w:rFonts w:ascii="Arial" w:hAnsi="Arial" w:cs="Arial"/>
              </w:rPr>
            </w:pPr>
            <w:r w:rsidRPr="00307D5D">
              <w:rPr>
                <w:rFonts w:ascii="Arial" w:hAnsi="Arial" w:cs="Arial"/>
              </w:rPr>
              <w:t>Инвестиции, осуществленные Клиентом без обращения к Инвестиционному советнику.</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Инвестиционный советник не отвечает за действия, бездействие или ошибки банков, брокеров, управляющих и иных третьих лиц, ошибки торговых систем, допущенные при исполнении поручений Клиента.</w:t>
            </w:r>
          </w:p>
          <w:p w:rsidR="002B666A" w:rsidRPr="00307D5D" w:rsidRDefault="002B666A" w:rsidP="002B666A">
            <w:pPr>
              <w:ind w:left="489"/>
              <w:jc w:val="both"/>
              <w:rPr>
                <w:rFonts w:ascii="Arial" w:hAnsi="Arial" w:cs="Arial"/>
                <w:lang w:val="ru-RU"/>
              </w:rPr>
            </w:pPr>
          </w:p>
        </w:tc>
      </w:tr>
      <w:tr w:rsidR="002B666A" w:rsidRPr="00E26C43" w:rsidTr="002B666A">
        <w:trPr>
          <w:gridAfter w:val="1"/>
          <w:wAfter w:w="5245" w:type="dxa"/>
          <w:trHeight w:val="1486"/>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Инвестиционный советник также не несет ответственности за консультации, основанные на предоставленной Клиентом недостоверной информации, а также за действия, упущения или задержки в исполнении своих обязательств Клиентом, в том числе в результате </w:t>
            </w:r>
            <w:proofErr w:type="spellStart"/>
            <w:r w:rsidRPr="00307D5D">
              <w:rPr>
                <w:rFonts w:ascii="Arial" w:hAnsi="Arial" w:cs="Arial"/>
              </w:rPr>
              <w:t>непредоставления</w:t>
            </w:r>
            <w:proofErr w:type="spellEnd"/>
            <w:r w:rsidRPr="00307D5D">
              <w:rPr>
                <w:rFonts w:ascii="Arial" w:hAnsi="Arial" w:cs="Arial"/>
              </w:rPr>
              <w:t xml:space="preserve"> или несвоевременного предоставления Клиентом документов и информации, предоставление которых предусмотрено Договором.</w:t>
            </w:r>
          </w:p>
          <w:p w:rsidR="002B666A" w:rsidRPr="00307D5D" w:rsidDel="00840593" w:rsidRDefault="002B666A" w:rsidP="002B666A">
            <w:pPr>
              <w:pStyle w:val="a7"/>
              <w:ind w:left="489"/>
              <w:jc w:val="both"/>
              <w:rPr>
                <w:rFonts w:ascii="Arial" w:hAnsi="Arial" w:cs="Arial"/>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rPr>
            </w:pPr>
            <w:r w:rsidRPr="00307D5D">
              <w:rPr>
                <w:rFonts w:ascii="Arial" w:hAnsi="Arial" w:cs="Arial"/>
                <w:b/>
              </w:rPr>
              <w:t>Конфиденциальность</w:t>
            </w:r>
          </w:p>
          <w:p w:rsidR="002B666A" w:rsidRPr="00307D5D" w:rsidRDefault="002B666A" w:rsidP="002B666A">
            <w:pPr>
              <w:tabs>
                <w:tab w:val="left" w:pos="742"/>
              </w:tabs>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Факт заключения, условия настоящего Договора и вся информация и консультации, а также Индивидуальные инвестиционные рекомендации, предоставленные Инвестиционным советником Клиенту, считаются </w:t>
            </w:r>
            <w:proofErr w:type="gramStart"/>
            <w:r w:rsidRPr="00307D5D">
              <w:rPr>
                <w:rFonts w:ascii="Arial" w:hAnsi="Arial" w:cs="Arial"/>
              </w:rPr>
              <w:t>Сторонами настоящего Договора</w:t>
            </w:r>
            <w:proofErr w:type="gramEnd"/>
            <w:r w:rsidRPr="00307D5D">
              <w:rPr>
                <w:rFonts w:ascii="Arial" w:hAnsi="Arial" w:cs="Arial"/>
              </w:rPr>
              <w:t xml:space="preserve"> конфиденциальными и не подлежащими разглашению третьим лицам, за исключением случаев, предусмотренных применимым законодательством или прямо согласованных Сторонами.</w:t>
            </w:r>
          </w:p>
          <w:p w:rsidR="002B666A" w:rsidRPr="00307D5D"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Ни одна из Сторон не должна раскрывать третьим лицам (за исключением случаев получения разрешения </w:t>
            </w:r>
            <w:r w:rsidRPr="00307D5D">
              <w:rPr>
                <w:rFonts w:ascii="Arial" w:hAnsi="Arial" w:cs="Arial"/>
              </w:rPr>
              <w:lastRenderedPageBreak/>
              <w:t>соответствующей Стороны, законодательного или регуляторного требования или получения требования суда или уполномоченного государственного органа) в течение срока действия данного Договора или после его расторжения никакую информацию касательно бизнеса, инвестиций (включая любые возможные или действительные инвестиции Клиента), финансов или других дел конфиденциального характера другой стороны, о которых ей может стать известно в ходе исполнения обязательств по данному Договору, и каждая из Сторон приложит разумные усилия для предотвращения такого раскрытия.</w:t>
            </w:r>
          </w:p>
          <w:p w:rsidR="002B666A" w:rsidRPr="00307D5D"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lastRenderedPageBreak/>
              <w:t xml:space="preserve">Несмотря на положения настоящей статьи, Сторона вправе раскрывать конфиденциальную информацию своим должностным лицам, представителям и сотрудникам, если такая информация необходима им для выполнения должностных обязанностей и при условии, что такие лица связаны письменным или профессиональным обязательством обеспечивать конфиденциальность полученной информации. </w:t>
            </w:r>
          </w:p>
          <w:p w:rsidR="002B666A" w:rsidRPr="00307D5D"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Обстоятельства непреодолимой силы (форс-мажор)</w:t>
            </w:r>
          </w:p>
          <w:p w:rsidR="002B666A" w:rsidRPr="00307D5D"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 К обстоятельствам непреодолимой силы относятся чрезвычайные и непредотвратимые при данных условиях события, которые находятся за пределами контроля Стороны, в частности, любые стихийные бедствия, военные действия любого характера, непосредственно препятствующие исполнению Договора, действия органов государственной власти и управления, Банка России, органов местного самоуправления, перерывы в поставках электроэнергии, делающие невозможным полное либо частичное исполнение Сторонами своих обязательств по Договору.</w:t>
            </w:r>
          </w:p>
          <w:p w:rsidR="002B666A" w:rsidRPr="00307D5D" w:rsidRDefault="002B666A" w:rsidP="002B666A">
            <w:pPr>
              <w:pStyle w:val="a7"/>
              <w:spacing w:after="120"/>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Затронутая форс-мажорными обстоятельствами Сторона не позднее чем через 3 (три)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rsidR="002B666A" w:rsidRPr="00307D5D" w:rsidRDefault="002B666A" w:rsidP="002B666A">
            <w:pPr>
              <w:pStyle w:val="a7"/>
              <w:ind w:left="489"/>
              <w:jc w:val="both"/>
              <w:rPr>
                <w:rFonts w:ascii="Arial" w:hAnsi="Arial" w:cs="Arial"/>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Сторона, для которой создались форс-мажорные обстоятельства, должна также не позднее чем через 3 (три) банковских дня известить в письменной форме другую Сторону о прекращении этих обстоятельств.</w:t>
            </w:r>
          </w:p>
        </w:tc>
      </w:tr>
      <w:tr w:rsidR="002B666A" w:rsidRPr="00E26C43" w:rsidTr="002B666A">
        <w:trPr>
          <w:gridAfter w:val="1"/>
          <w:wAfter w:w="5245" w:type="dxa"/>
        </w:trPr>
        <w:tc>
          <w:tcPr>
            <w:tcW w:w="10666" w:type="dxa"/>
            <w:gridSpan w:val="4"/>
          </w:tcPr>
          <w:p w:rsidR="002B666A" w:rsidRPr="00307D5D" w:rsidRDefault="002B666A" w:rsidP="002B666A">
            <w:pPr>
              <w:pStyle w:val="a7"/>
              <w:ind w:left="489"/>
              <w:jc w:val="both"/>
              <w:rPr>
                <w:rFonts w:ascii="Arial" w:hAnsi="Arial" w:cs="Arial"/>
              </w:rPr>
            </w:pPr>
            <w:proofErr w:type="spellStart"/>
            <w:r w:rsidRPr="00307D5D">
              <w:rPr>
                <w:rFonts w:ascii="Arial" w:hAnsi="Arial" w:cs="Arial"/>
              </w:rPr>
              <w:t>Неизвещение</w:t>
            </w:r>
            <w:proofErr w:type="spellEnd"/>
            <w:r w:rsidRPr="00307D5D">
              <w:rPr>
                <w:rFonts w:ascii="Arial" w:hAnsi="Arial" w:cs="Arial"/>
              </w:rPr>
              <w:t xml:space="preserve">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tc>
      </w:tr>
      <w:tr w:rsidR="002B666A" w:rsidRPr="00E26C43" w:rsidTr="002B666A">
        <w:trPr>
          <w:gridAfter w:val="1"/>
          <w:wAfter w:w="5245" w:type="dxa"/>
        </w:trPr>
        <w:tc>
          <w:tcPr>
            <w:tcW w:w="10666" w:type="dxa"/>
            <w:gridSpan w:val="4"/>
          </w:tcPr>
          <w:p w:rsidR="002B666A" w:rsidRPr="00307D5D" w:rsidRDefault="002B666A" w:rsidP="002B666A">
            <w:pPr>
              <w:pStyle w:val="a7"/>
              <w:ind w:left="489"/>
              <w:jc w:val="both"/>
              <w:rPr>
                <w:rFonts w:ascii="Arial" w:hAnsi="Arial" w:cs="Arial"/>
              </w:rPr>
            </w:pPr>
            <w:r w:rsidRPr="00307D5D">
              <w:rPr>
                <w:rFonts w:ascii="Arial" w:hAnsi="Arial" w:cs="Arial"/>
              </w:rPr>
              <w:t>Наступление форс-мажорных обстоятельств влечет увеличение срока исполнения Договора на период их действия, если Стороны не договорились об ином.</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В случае если обстоятельства непреодолимой силы продолжаются более одного месяца, любая из Сторон имеет право в одностороннем порядке отказаться от настоящего Договора. </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rPr>
            </w:pPr>
            <w:r w:rsidRPr="00307D5D">
              <w:rPr>
                <w:rFonts w:ascii="Arial" w:hAnsi="Arial" w:cs="Arial"/>
                <w:b/>
              </w:rPr>
              <w:t>Срок действия и порядок расторжения Договора</w:t>
            </w:r>
          </w:p>
          <w:p w:rsidR="002B666A" w:rsidRPr="00307D5D" w:rsidRDefault="002B666A" w:rsidP="002B666A">
            <w:pPr>
              <w:jc w:val="both"/>
              <w:rPr>
                <w:rFonts w:ascii="Arial" w:hAnsi="Arial" w:cs="Arial"/>
                <w:b/>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Договор вступает в силу с даты подписания его Сторонами и действует в течение 1 (одного) года. По истечении срока действия Договор автоматически продлевается на один год, если не расторгается любой Стороной на основании условий Договора. </w:t>
            </w:r>
          </w:p>
          <w:p w:rsidR="002B666A" w:rsidRPr="00307D5D" w:rsidRDefault="002B666A" w:rsidP="002B666A">
            <w:pPr>
              <w:ind w:left="489"/>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Договор может быть прекращен по основаниям, предусмотренным законодательством РФ и настоящим Договором.</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Любая сторона настоящего Договора вправе отказаться от исполнения Договора в любое время, предоставив соответствующее уведомление не менее, чем за 30 (тридцать) календарных дней до предполагаемой даты расторжения Договора</w:t>
            </w:r>
            <w:r w:rsidR="00F05484">
              <w:rPr>
                <w:rFonts w:ascii="Arial" w:hAnsi="Arial" w:cs="Arial"/>
              </w:rPr>
              <w:t>, если иное не предусмотрено Договором или отдельным соглашением.</w:t>
            </w:r>
            <w:r w:rsidRPr="00307D5D">
              <w:rPr>
                <w:rFonts w:ascii="Arial" w:hAnsi="Arial" w:cs="Arial"/>
              </w:rPr>
              <w:t xml:space="preserve"> </w:t>
            </w:r>
          </w:p>
          <w:p w:rsidR="002B666A" w:rsidRPr="00307D5D" w:rsidRDefault="002B666A" w:rsidP="002B666A">
            <w:pPr>
              <w:ind w:left="489"/>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Прекращение Договора не освобождает Стороны от выполнения обязательств Сторон по взаиморасчетам.</w:t>
            </w:r>
          </w:p>
          <w:p w:rsidR="002B666A" w:rsidRPr="00307D5D" w:rsidRDefault="002B666A" w:rsidP="002B666A">
            <w:pPr>
              <w:tabs>
                <w:tab w:val="left" w:pos="742"/>
              </w:tabs>
              <w:ind w:left="489"/>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Порядок направления Уведомлений и иных обязательные документов по Договору</w:t>
            </w:r>
          </w:p>
          <w:p w:rsidR="002B666A" w:rsidRPr="00307D5D" w:rsidRDefault="002B666A" w:rsidP="002B666A">
            <w:pPr>
              <w:pStyle w:val="a7"/>
              <w:ind w:left="360"/>
              <w:jc w:val="both"/>
              <w:rPr>
                <w:rFonts w:ascii="Arial" w:hAnsi="Arial" w:cs="Arial"/>
                <w:b/>
              </w:rPr>
            </w:pPr>
          </w:p>
        </w:tc>
      </w:tr>
      <w:tr w:rsidR="002B666A" w:rsidRPr="00E26C43" w:rsidTr="002B666A">
        <w:trPr>
          <w:gridAfter w:val="1"/>
          <w:wAfter w:w="5245" w:type="dxa"/>
        </w:trPr>
        <w:tc>
          <w:tcPr>
            <w:tcW w:w="10666" w:type="dxa"/>
            <w:gridSpan w:val="4"/>
          </w:tcPr>
          <w:p w:rsidR="00845C36" w:rsidRPr="00307D5D" w:rsidRDefault="00845C36" w:rsidP="00665B16">
            <w:pPr>
              <w:pStyle w:val="a7"/>
              <w:numPr>
                <w:ilvl w:val="1"/>
                <w:numId w:val="5"/>
              </w:numPr>
              <w:ind w:left="489" w:hanging="426"/>
              <w:jc w:val="both"/>
              <w:rPr>
                <w:rFonts w:ascii="Arial" w:hAnsi="Arial" w:cs="Arial"/>
              </w:rPr>
            </w:pPr>
            <w:r w:rsidRPr="00307D5D">
              <w:rPr>
                <w:rFonts w:ascii="Arial" w:hAnsi="Arial" w:cs="Arial"/>
              </w:rPr>
              <w:lastRenderedPageBreak/>
              <w:t xml:space="preserve">Если иное не предусмотрено нормативными актами и/ или настоящим Договором, в случае размещения обязательных уведомлений, консультаций и рекомендаций, подлежащих предоставлению Инвестиционным советником Клиенту по Договору, в «Личном кабинете» и/ или по электронной почте по адресу, указанному в разделе 15 настоящего Договора и/или в мобильном приложении, поддерживающем техническую возможность предоставления Индивидуальных инвестиционных рекомендаций и доступа к таким рекомендациям Клиента, такие документы считаются надлежащим образом предоставленными Клиенту и не требуют дополнительных предоставлений документов на бумажных носителях. </w:t>
            </w:r>
          </w:p>
          <w:p w:rsidR="002B666A" w:rsidRPr="00307D5D" w:rsidRDefault="002B666A" w:rsidP="00665B16">
            <w:pPr>
              <w:pStyle w:val="a7"/>
              <w:ind w:left="489"/>
              <w:jc w:val="both"/>
              <w:rPr>
                <w:rFonts w:ascii="Arial" w:hAnsi="Arial" w:cs="Arial"/>
              </w:rPr>
            </w:pPr>
          </w:p>
          <w:p w:rsidR="00845C36" w:rsidRPr="00307D5D" w:rsidRDefault="00845C36" w:rsidP="00665B16">
            <w:pPr>
              <w:pStyle w:val="a7"/>
              <w:ind w:left="489"/>
              <w:jc w:val="both"/>
              <w:rPr>
                <w:rFonts w:ascii="Arial" w:hAnsi="Arial" w:cs="Arial"/>
              </w:rPr>
            </w:pPr>
            <w:r w:rsidRPr="00307D5D">
              <w:rPr>
                <w:rFonts w:ascii="Arial" w:hAnsi="Arial" w:cs="Arial"/>
              </w:rPr>
              <w:t>Инвестиционный советник оставляет за собой право направления уведомления/ консультации или рекомендации посредством почты и / или путем личного вручения Клиенту</w:t>
            </w:r>
            <w:r w:rsidR="0031474E">
              <w:rPr>
                <w:rFonts w:ascii="Arial" w:hAnsi="Arial" w:cs="Arial"/>
              </w:rPr>
              <w:t>.</w:t>
            </w:r>
            <w:r w:rsidRPr="00307D5D">
              <w:rPr>
                <w:rFonts w:ascii="Arial" w:hAnsi="Arial" w:cs="Arial"/>
              </w:rPr>
              <w:t xml:space="preserve"> </w:t>
            </w:r>
          </w:p>
          <w:p w:rsidR="00845C36" w:rsidRPr="00307D5D" w:rsidRDefault="00845C36" w:rsidP="00665B16">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Если настоящим Договором не предусмотрено иное, все уведомления от Клиента, имеющие отношение к настоящему Договору, направляются по адресу места нахождения Инвестиционного советника, указанному в Разделе 15 настоящего Договора.</w:t>
            </w:r>
          </w:p>
          <w:p w:rsidR="002B666A" w:rsidRPr="00307D5D" w:rsidRDefault="002B666A" w:rsidP="002B666A">
            <w:pPr>
              <w:ind w:left="489"/>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Все сообщения или уведомления, считаются доставленными должным образом в: </w:t>
            </w:r>
          </w:p>
          <w:p w:rsidR="002B666A" w:rsidRPr="00307D5D" w:rsidRDefault="002B666A" w:rsidP="002B666A">
            <w:pPr>
              <w:pStyle w:val="a7"/>
              <w:numPr>
                <w:ilvl w:val="0"/>
                <w:numId w:val="16"/>
              </w:numPr>
              <w:jc w:val="both"/>
              <w:rPr>
                <w:rFonts w:ascii="Arial" w:hAnsi="Arial" w:cs="Arial"/>
              </w:rPr>
            </w:pPr>
            <w:r w:rsidRPr="00307D5D">
              <w:rPr>
                <w:rFonts w:ascii="Arial" w:hAnsi="Arial" w:cs="Arial"/>
              </w:rPr>
              <w:t xml:space="preserve">дату вручения при личной доставке; </w:t>
            </w:r>
          </w:p>
          <w:p w:rsidR="002B666A" w:rsidRPr="00307D5D" w:rsidRDefault="002B666A" w:rsidP="002B666A">
            <w:pPr>
              <w:pStyle w:val="a7"/>
              <w:numPr>
                <w:ilvl w:val="0"/>
                <w:numId w:val="16"/>
              </w:numPr>
              <w:jc w:val="both"/>
              <w:rPr>
                <w:rFonts w:ascii="Arial" w:hAnsi="Arial" w:cs="Arial"/>
              </w:rPr>
            </w:pPr>
            <w:r w:rsidRPr="00307D5D">
              <w:rPr>
                <w:rFonts w:ascii="Arial" w:hAnsi="Arial" w:cs="Arial"/>
              </w:rPr>
              <w:t xml:space="preserve">дату получения при направлении международно-признанной службой доставки; или </w:t>
            </w:r>
          </w:p>
          <w:p w:rsidR="002B666A" w:rsidRPr="00307D5D" w:rsidRDefault="002B666A" w:rsidP="002B666A">
            <w:pPr>
              <w:pStyle w:val="a7"/>
              <w:numPr>
                <w:ilvl w:val="0"/>
                <w:numId w:val="16"/>
              </w:numPr>
              <w:jc w:val="both"/>
              <w:rPr>
                <w:rFonts w:ascii="Arial" w:hAnsi="Arial" w:cs="Arial"/>
              </w:rPr>
            </w:pPr>
            <w:r w:rsidRPr="00307D5D">
              <w:rPr>
                <w:rFonts w:ascii="Arial" w:hAnsi="Arial" w:cs="Arial"/>
              </w:rPr>
              <w:t>дату получения сервером электронной почты получателя при направлении посредством электронной системы сообщений (электронной почты).</w:t>
            </w:r>
          </w:p>
          <w:p w:rsidR="002B666A" w:rsidRPr="00307D5D" w:rsidRDefault="002B666A" w:rsidP="002B666A">
            <w:pPr>
              <w:pStyle w:val="a7"/>
              <w:numPr>
                <w:ilvl w:val="0"/>
                <w:numId w:val="16"/>
              </w:numPr>
              <w:jc w:val="both"/>
              <w:rPr>
                <w:rFonts w:ascii="Arial" w:hAnsi="Arial" w:cs="Arial"/>
              </w:rPr>
            </w:pPr>
            <w:r w:rsidRPr="00307D5D">
              <w:rPr>
                <w:rFonts w:ascii="Arial" w:hAnsi="Arial" w:cs="Arial"/>
              </w:rPr>
              <w:t>дату размещения в «Личном кабинете»</w:t>
            </w:r>
          </w:p>
          <w:p w:rsidR="00846542" w:rsidRPr="00307D5D" w:rsidRDefault="00846542" w:rsidP="002B666A">
            <w:pPr>
              <w:pStyle w:val="a7"/>
              <w:numPr>
                <w:ilvl w:val="0"/>
                <w:numId w:val="16"/>
              </w:numPr>
              <w:jc w:val="both"/>
              <w:rPr>
                <w:rFonts w:ascii="Arial" w:hAnsi="Arial" w:cs="Arial"/>
              </w:rPr>
            </w:pPr>
            <w:r w:rsidRPr="00307D5D">
              <w:rPr>
                <w:rFonts w:ascii="Arial" w:hAnsi="Arial" w:cs="Arial"/>
              </w:rPr>
              <w:t>дату размещения в мобильном приложении, поддерживающем техническую возможность предоставления Индивидуальных инвестиционных рекомендаций и доступа к таким рекомендациям Клиента</w:t>
            </w:r>
          </w:p>
          <w:p w:rsidR="002B666A" w:rsidRPr="00307D5D" w:rsidRDefault="002B666A" w:rsidP="002B666A">
            <w:pPr>
              <w:ind w:left="489"/>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rPr>
            </w:pPr>
            <w:r w:rsidRPr="00307D5D">
              <w:rPr>
                <w:rFonts w:ascii="Arial" w:hAnsi="Arial" w:cs="Arial"/>
                <w:b/>
              </w:rPr>
              <w:t xml:space="preserve">Применимое законодательство и порядок разрешения споров </w:t>
            </w:r>
          </w:p>
          <w:p w:rsidR="002B666A" w:rsidRPr="00307D5D" w:rsidRDefault="002B666A" w:rsidP="002B666A">
            <w:pPr>
              <w:pStyle w:val="a7"/>
              <w:ind w:left="360"/>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Настоящий Договор регулируется и толкуется в соответствии с законодательством Российской Федерации. </w:t>
            </w:r>
          </w:p>
          <w:p w:rsidR="002B666A" w:rsidRPr="00307D5D" w:rsidRDefault="002B666A" w:rsidP="002B666A">
            <w:pPr>
              <w:ind w:left="489" w:hanging="426"/>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Споры, возникающие в связи с исполнением настоящего Договора, разрешаются в соответствии с законодательством РФ.</w:t>
            </w:r>
          </w:p>
          <w:p w:rsidR="00846542" w:rsidRPr="00307D5D" w:rsidRDefault="00846542" w:rsidP="00665B16">
            <w:pPr>
              <w:pStyle w:val="a7"/>
              <w:ind w:left="489"/>
              <w:jc w:val="both"/>
              <w:rPr>
                <w:rFonts w:ascii="Arial" w:hAnsi="Arial" w:cs="Arial"/>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p>
          <w:p w:rsidR="002B666A" w:rsidRPr="00307D5D" w:rsidRDefault="002B666A" w:rsidP="002B666A">
            <w:pPr>
              <w:pStyle w:val="a7"/>
              <w:ind w:left="489" w:hanging="426"/>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 суд по месту нахождения Инвестиционного советника. </w:t>
            </w:r>
          </w:p>
          <w:p w:rsidR="002B666A" w:rsidRPr="00307D5D" w:rsidRDefault="002B666A" w:rsidP="002B666A">
            <w:pPr>
              <w:ind w:left="489" w:hanging="426"/>
              <w:jc w:val="both"/>
              <w:rPr>
                <w:rFonts w:ascii="Arial" w:hAnsi="Arial" w:cs="Arial"/>
                <w:lang w:val="ru-RU"/>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Заверения об обязательствах</w:t>
            </w:r>
          </w:p>
          <w:p w:rsidR="002B666A" w:rsidRPr="00307D5D" w:rsidRDefault="002B666A" w:rsidP="002B666A">
            <w:pPr>
              <w:pStyle w:val="a7"/>
              <w:tabs>
                <w:tab w:val="left" w:pos="742"/>
              </w:tabs>
              <w:ind w:left="360"/>
              <w:jc w:val="both"/>
              <w:rPr>
                <w:rFonts w:ascii="Arial" w:hAnsi="Arial" w:cs="Arial"/>
                <w:b/>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Клиент заверяет Инвестиционного советника в том, что подписание, осуществление и исполнение настоящего Договора Клиентом не противоречит и не будет противоречить или не представляет собой и не будет представлять собой нарушение договорных обязательств, и не повлечет за собой нарушение законодательства, прав третьих лиц или договора, стороной которого является Клиент и предметом которого являются его активы.</w:t>
            </w:r>
          </w:p>
          <w:p w:rsidR="002B666A" w:rsidRPr="00307D5D" w:rsidRDefault="002B666A" w:rsidP="002B666A">
            <w:pPr>
              <w:overflowPunct/>
              <w:ind w:left="489"/>
              <w:jc w:val="both"/>
              <w:textAlignment w:val="auto"/>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Клиент подтверждает, что он обладает достаточными знаниями и пониманием сделок с финансовыми инструментами. Клиент полностью осознает и соглашается с тем, что инвестированию на рынке ценных бумаг присущи существенные риски, которые могут повлечь за собой возникновение убытков. Клиент подтверждает, что он ознакомился с Уведомлением о рисках, являющимся Приложением </w:t>
            </w:r>
            <w:r w:rsidR="00A746F1">
              <w:rPr>
                <w:rFonts w:ascii="Arial" w:hAnsi="Arial" w:cs="Arial"/>
              </w:rPr>
              <w:t>№1</w:t>
            </w:r>
            <w:r w:rsidRPr="00307D5D">
              <w:rPr>
                <w:rFonts w:ascii="Arial" w:hAnsi="Arial" w:cs="Arial"/>
              </w:rPr>
              <w:t xml:space="preserve"> к настоящему Договору.</w:t>
            </w:r>
          </w:p>
          <w:p w:rsidR="002B666A" w:rsidRPr="00307D5D" w:rsidRDefault="002B666A" w:rsidP="002B666A">
            <w:pPr>
              <w:overflowPunct/>
              <w:ind w:left="489"/>
              <w:jc w:val="both"/>
              <w:textAlignment w:val="auto"/>
              <w:rPr>
                <w:rFonts w:ascii="Arial" w:hAnsi="Arial" w:cs="Arial"/>
                <w:lang w:val="ru-RU"/>
              </w:rPr>
            </w:pPr>
          </w:p>
        </w:tc>
      </w:tr>
      <w:tr w:rsidR="002B666A" w:rsidRPr="00E26C43" w:rsidTr="002B666A">
        <w:trPr>
          <w:gridAfter w:val="1"/>
          <w:wAfter w:w="5245" w:type="dxa"/>
        </w:trPr>
        <w:tc>
          <w:tcPr>
            <w:tcW w:w="10666" w:type="dxa"/>
            <w:gridSpan w:val="4"/>
          </w:tcPr>
          <w:p w:rsidR="002B666A" w:rsidRPr="00665B16" w:rsidRDefault="002B666A" w:rsidP="002B666A">
            <w:pPr>
              <w:pStyle w:val="a7"/>
              <w:numPr>
                <w:ilvl w:val="1"/>
                <w:numId w:val="5"/>
              </w:numPr>
              <w:ind w:left="489"/>
              <w:jc w:val="both"/>
              <w:rPr>
                <w:rFonts w:ascii="Arial" w:hAnsi="Arial" w:cs="Arial"/>
              </w:rPr>
            </w:pPr>
            <w:r w:rsidRPr="00665B16">
              <w:rPr>
                <w:rFonts w:ascii="Arial" w:hAnsi="Arial" w:cs="Arial"/>
              </w:rPr>
              <w:t>Клиент подтверждает, что уведомлен о возможности возникновения расходов на выплату вознаграждений брокеру, управляющему, депозитарию, регистратору, организатору торговли, клиринговой организации в связи с исполнением Клиентом Индивидуальных инвестиционных рекомендаций</w:t>
            </w:r>
            <w:r w:rsidR="007E2F88" w:rsidRPr="00665B16">
              <w:rPr>
                <w:rFonts w:ascii="Arial" w:hAnsi="Arial" w:cs="Arial"/>
              </w:rPr>
              <w:t>, которые могут быть предусмотрены договорами/соглашениями, заключаемыми между Клиентом и указанными лицами</w:t>
            </w:r>
            <w:r w:rsidRPr="00665B16">
              <w:rPr>
                <w:rFonts w:ascii="Arial" w:hAnsi="Arial" w:cs="Arial"/>
              </w:rPr>
              <w:t>.</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Клиент также предоставляет Инвестиционному советнику заверение в том, что любая информация и </w:t>
            </w:r>
            <w:r w:rsidRPr="00307D5D">
              <w:rPr>
                <w:rFonts w:ascii="Arial" w:hAnsi="Arial" w:cs="Arial"/>
              </w:rPr>
              <w:lastRenderedPageBreak/>
              <w:t>документы, предоставленные Инвестиционному консультанту Клиентом в рамках исполнения им своих обязательств по настоящему Договору, являются полными и достоверными.</w:t>
            </w:r>
          </w:p>
          <w:p w:rsidR="002B666A" w:rsidRPr="00307D5D" w:rsidRDefault="002B666A" w:rsidP="002B666A">
            <w:pPr>
              <w:overflowPunct/>
              <w:ind w:left="489"/>
              <w:jc w:val="both"/>
              <w:textAlignment w:val="auto"/>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numPr>
                <w:ilvl w:val="0"/>
                <w:numId w:val="5"/>
              </w:numPr>
              <w:overflowPunct/>
              <w:autoSpaceDE/>
              <w:autoSpaceDN/>
              <w:adjustRightInd/>
              <w:textAlignment w:val="auto"/>
              <w:rPr>
                <w:rFonts w:ascii="Arial" w:hAnsi="Arial" w:cs="Arial"/>
                <w:lang w:val="ru-RU"/>
              </w:rPr>
            </w:pPr>
            <w:r w:rsidRPr="00307D5D">
              <w:rPr>
                <w:rFonts w:ascii="Arial" w:hAnsi="Arial" w:cs="Arial"/>
                <w:b/>
                <w:bCs/>
                <w:lang w:val="ru-RU"/>
              </w:rPr>
              <w:lastRenderedPageBreak/>
              <w:t>Порядок заключения, изменения и прекращения Договора</w:t>
            </w:r>
          </w:p>
          <w:p w:rsidR="002B666A" w:rsidRPr="00307D5D" w:rsidRDefault="002B666A" w:rsidP="002B666A">
            <w:pPr>
              <w:overflowPunct/>
              <w:autoSpaceDE/>
              <w:autoSpaceDN/>
              <w:adjustRightInd/>
              <w:ind w:left="360"/>
              <w:textAlignment w:val="auto"/>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 xml:space="preserve">Настоящий Договор заключается в письменной форме в двух экземплярах, по одному для каждой из Сторон, имеющих равную юридическую силу. Настоящий Договор может быть заключен в электронной форме при условии его подписания ПЭП Клиента и Усиленной квалифицированной электронной подписью (далее – УКЭП) Инвестиционного советника. При этом экземпляр Клиента размещается в Личном кабинете. Данный способ подписания возможен для Клиентов, заключивших Соглашение об ЭДО с Инвестиционным советником и имеющих доступ к Личному кабинету.  </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Все изменения к настоящему Договору, возможны только по соглашению Сторон, заключаются в письменной или электронной форме и подписываются в том же порядке, что и настоящий Договор.</w:t>
            </w:r>
          </w:p>
          <w:p w:rsidR="002B666A" w:rsidRPr="00307D5D" w:rsidRDefault="002B666A" w:rsidP="002B666A">
            <w:pPr>
              <w:ind w:left="63"/>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Договор может быть прекращен по основаниям, предусмотренным законодательством РФ и настоящим Договором.</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Настоящий Договор может быть досрочно расторгнут в любое время по инициативе любой из Сторон с письменным уведомлением не менее чем за 30 (Тридцать) календарных дней до даты предполагаемой даты расторжения.</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Прекращение Договора не освобождает Стороны от выполнения обязательств Сторон по взаиморасчетам.</w:t>
            </w:r>
          </w:p>
          <w:p w:rsidR="002B666A" w:rsidRPr="00307D5D" w:rsidRDefault="002B666A" w:rsidP="002B666A">
            <w:pPr>
              <w:pStyle w:val="a7"/>
              <w:ind w:left="489"/>
              <w:jc w:val="both"/>
              <w:rPr>
                <w:rFonts w:ascii="Arial" w:hAnsi="Arial" w:cs="Arial"/>
              </w:rPr>
            </w:pPr>
          </w:p>
        </w:tc>
      </w:tr>
      <w:tr w:rsidR="002B666A" w:rsidRPr="00307D5D" w:rsidTr="002B666A">
        <w:trPr>
          <w:gridAfter w:val="1"/>
          <w:wAfter w:w="5245" w:type="dxa"/>
        </w:trPr>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Прочие условия</w:t>
            </w:r>
          </w:p>
          <w:p w:rsidR="002B666A" w:rsidRPr="00307D5D" w:rsidRDefault="002B666A" w:rsidP="002B666A">
            <w:pPr>
              <w:tabs>
                <w:tab w:val="left" w:pos="742"/>
              </w:tabs>
              <w:jc w:val="both"/>
              <w:rPr>
                <w:rFonts w:ascii="Arial" w:hAnsi="Arial" w:cs="Arial"/>
                <w:b/>
                <w:lang w:val="ru-RU"/>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jc w:val="both"/>
              <w:rPr>
                <w:rFonts w:ascii="Arial" w:hAnsi="Arial" w:cs="Arial"/>
              </w:rPr>
            </w:pPr>
            <w:r w:rsidRPr="00307D5D">
              <w:rPr>
                <w:rFonts w:ascii="Arial" w:hAnsi="Arial" w:cs="Arial"/>
              </w:rPr>
              <w:t xml:space="preserve">Настоящий Договор составлен на русском языке. </w:t>
            </w:r>
          </w:p>
          <w:p w:rsidR="002B666A" w:rsidRPr="00307D5D" w:rsidRDefault="002B666A" w:rsidP="002B666A">
            <w:pPr>
              <w:pStyle w:val="a7"/>
              <w:ind w:left="489"/>
              <w:jc w:val="both"/>
              <w:rPr>
                <w:rFonts w:ascii="Arial" w:hAnsi="Arial" w:cs="Arial"/>
              </w:rPr>
            </w:pPr>
          </w:p>
        </w:tc>
      </w:tr>
      <w:tr w:rsidR="002B666A" w:rsidRPr="00E26C43" w:rsidTr="002B666A">
        <w:trPr>
          <w:gridAfter w:val="1"/>
          <w:wAfter w:w="5245" w:type="dxa"/>
        </w:trPr>
        <w:tc>
          <w:tcPr>
            <w:tcW w:w="10666" w:type="dxa"/>
            <w:gridSpan w:val="4"/>
          </w:tcPr>
          <w:p w:rsidR="002B666A" w:rsidRPr="00307D5D" w:rsidRDefault="002B666A" w:rsidP="002B666A">
            <w:pPr>
              <w:pStyle w:val="a7"/>
              <w:numPr>
                <w:ilvl w:val="1"/>
                <w:numId w:val="5"/>
              </w:numPr>
              <w:ind w:left="489" w:hanging="426"/>
              <w:jc w:val="both"/>
              <w:rPr>
                <w:rFonts w:ascii="Arial" w:hAnsi="Arial" w:cs="Arial"/>
              </w:rPr>
            </w:pPr>
            <w:r w:rsidRPr="00307D5D">
              <w:rPr>
                <w:rFonts w:ascii="Arial" w:hAnsi="Arial" w:cs="Arial"/>
              </w:rPr>
              <w:t>Все изменения настоящего Договора возможны только по соглашению Сторон, заключаются в письменной форме и подписываются в том же порядке, что и настоящий Договор.</w:t>
            </w:r>
          </w:p>
          <w:p w:rsidR="002B666A" w:rsidRPr="00307D5D" w:rsidRDefault="002B666A" w:rsidP="002B666A">
            <w:pPr>
              <w:tabs>
                <w:tab w:val="left" w:pos="742"/>
              </w:tabs>
              <w:ind w:left="489"/>
              <w:jc w:val="both"/>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overflowPunct/>
              <w:ind w:left="-25"/>
              <w:jc w:val="both"/>
              <w:textAlignment w:val="auto"/>
              <w:rPr>
                <w:rFonts w:ascii="Arial" w:hAnsi="Arial" w:cs="Arial"/>
                <w:lang w:val="ru-RU"/>
              </w:rPr>
            </w:pPr>
          </w:p>
        </w:tc>
      </w:tr>
      <w:tr w:rsidR="002B666A" w:rsidRPr="00E26C43" w:rsidTr="002B666A">
        <w:trPr>
          <w:gridAfter w:val="1"/>
          <w:wAfter w:w="5245" w:type="dxa"/>
        </w:trPr>
        <w:tc>
          <w:tcPr>
            <w:tcW w:w="10666" w:type="dxa"/>
            <w:gridSpan w:val="4"/>
          </w:tcPr>
          <w:p w:rsidR="002B666A" w:rsidRPr="00307D5D" w:rsidRDefault="002B666A" w:rsidP="002B666A">
            <w:pPr>
              <w:rPr>
                <w:rFonts w:ascii="Arial" w:hAnsi="Arial" w:cs="Arial"/>
                <w:b/>
                <w:bCs/>
                <w:lang w:val="ru-RU"/>
              </w:rPr>
            </w:pPr>
            <w:r w:rsidRPr="00307D5D">
              <w:rPr>
                <w:rFonts w:ascii="Arial" w:hAnsi="Arial" w:cs="Arial"/>
                <w:b/>
                <w:bCs/>
                <w:lang w:val="ru-RU"/>
              </w:rPr>
              <w:t>Приложения к Договору:</w:t>
            </w:r>
          </w:p>
          <w:p w:rsidR="002B666A" w:rsidRPr="00307D5D" w:rsidRDefault="002B666A" w:rsidP="002B666A">
            <w:pPr>
              <w:jc w:val="both"/>
              <w:rPr>
                <w:rFonts w:ascii="Arial" w:hAnsi="Arial" w:cs="Arial"/>
                <w:lang w:val="ru-RU"/>
              </w:rPr>
            </w:pPr>
          </w:p>
          <w:p w:rsidR="002B666A" w:rsidRPr="00307D5D" w:rsidRDefault="002B666A" w:rsidP="002B666A">
            <w:pPr>
              <w:jc w:val="both"/>
              <w:rPr>
                <w:rFonts w:ascii="Arial" w:hAnsi="Arial" w:cs="Arial"/>
                <w:lang w:val="ru-RU"/>
              </w:rPr>
            </w:pPr>
            <w:r w:rsidRPr="00307D5D">
              <w:rPr>
                <w:rFonts w:ascii="Arial" w:hAnsi="Arial" w:cs="Arial"/>
                <w:lang w:val="ru-RU"/>
              </w:rPr>
              <w:t>Приложение № </w:t>
            </w:r>
            <w:r w:rsidR="00A746F1">
              <w:rPr>
                <w:rFonts w:ascii="Arial" w:hAnsi="Arial" w:cs="Arial"/>
                <w:lang w:val="ru-RU"/>
              </w:rPr>
              <w:t>1</w:t>
            </w:r>
            <w:r w:rsidRPr="00307D5D">
              <w:rPr>
                <w:rFonts w:ascii="Arial" w:hAnsi="Arial" w:cs="Arial"/>
                <w:lang w:val="ru-RU"/>
              </w:rPr>
              <w:t> – Уведомление о рисках;</w:t>
            </w:r>
          </w:p>
          <w:p w:rsidR="002B666A" w:rsidRPr="00307D5D" w:rsidRDefault="002B666A" w:rsidP="002B666A">
            <w:pPr>
              <w:jc w:val="both"/>
              <w:rPr>
                <w:rFonts w:ascii="Arial" w:hAnsi="Arial" w:cs="Arial"/>
                <w:lang w:val="ru-RU"/>
              </w:rPr>
            </w:pPr>
            <w:r w:rsidRPr="00307D5D">
              <w:rPr>
                <w:rFonts w:ascii="Arial" w:hAnsi="Arial" w:cs="Arial"/>
                <w:lang w:val="ru-RU"/>
              </w:rPr>
              <w:t>Приложение №</w:t>
            </w:r>
            <w:r w:rsidRPr="00307D5D">
              <w:rPr>
                <w:lang w:val="ru-RU"/>
              </w:rPr>
              <w:t xml:space="preserve"> </w:t>
            </w:r>
            <w:r w:rsidR="00A746F1">
              <w:rPr>
                <w:rFonts w:ascii="Arial" w:hAnsi="Arial" w:cs="Arial"/>
                <w:lang w:val="ru-RU"/>
              </w:rPr>
              <w:t>2</w:t>
            </w:r>
            <w:r w:rsidRPr="00307D5D">
              <w:rPr>
                <w:rFonts w:ascii="Arial" w:hAnsi="Arial" w:cs="Arial"/>
                <w:lang w:val="ru-RU"/>
              </w:rPr>
              <w:t> – Согласие на обработку персональных данных.</w:t>
            </w:r>
          </w:p>
          <w:p w:rsidR="002B666A" w:rsidRPr="00307D5D" w:rsidRDefault="002B666A" w:rsidP="002B666A">
            <w:pPr>
              <w:widowControl w:val="0"/>
              <w:tabs>
                <w:tab w:val="left" w:pos="1080"/>
              </w:tabs>
              <w:overflowPunct/>
              <w:autoSpaceDE/>
              <w:autoSpaceDN/>
              <w:adjustRightInd/>
              <w:ind w:left="742"/>
              <w:contextualSpacing/>
              <w:jc w:val="both"/>
              <w:textAlignment w:val="auto"/>
              <w:rPr>
                <w:rFonts w:ascii="Arial" w:hAnsi="Arial" w:cs="Arial"/>
                <w:b/>
                <w:lang w:val="ru-RU"/>
              </w:rPr>
            </w:pPr>
          </w:p>
        </w:tc>
      </w:tr>
      <w:tr w:rsidR="002B666A" w:rsidRPr="00307D5D" w:rsidTr="002B666A">
        <w:tc>
          <w:tcPr>
            <w:tcW w:w="10666" w:type="dxa"/>
            <w:gridSpan w:val="4"/>
          </w:tcPr>
          <w:p w:rsidR="002B666A" w:rsidRPr="00307D5D" w:rsidRDefault="002B666A" w:rsidP="002B666A">
            <w:pPr>
              <w:pStyle w:val="a7"/>
              <w:numPr>
                <w:ilvl w:val="0"/>
                <w:numId w:val="5"/>
              </w:numPr>
              <w:jc w:val="both"/>
              <w:rPr>
                <w:rFonts w:ascii="Arial" w:hAnsi="Arial" w:cs="Arial"/>
                <w:b/>
              </w:rPr>
            </w:pPr>
            <w:r w:rsidRPr="00307D5D">
              <w:rPr>
                <w:rFonts w:ascii="Arial" w:hAnsi="Arial" w:cs="Arial"/>
                <w:b/>
              </w:rPr>
              <w:t>Реквизиты и подписи Сторон</w:t>
            </w:r>
          </w:p>
        </w:tc>
        <w:tc>
          <w:tcPr>
            <w:tcW w:w="5245" w:type="dxa"/>
          </w:tcPr>
          <w:p w:rsidR="002B666A" w:rsidRPr="00307D5D" w:rsidRDefault="002B666A" w:rsidP="002B666A">
            <w:pPr>
              <w:rPr>
                <w:lang w:val="en-US"/>
              </w:rPr>
            </w:pPr>
          </w:p>
        </w:tc>
      </w:tr>
      <w:tr w:rsidR="002B666A" w:rsidRPr="00307D5D" w:rsidTr="002B666A">
        <w:tc>
          <w:tcPr>
            <w:tcW w:w="10666" w:type="dxa"/>
            <w:gridSpan w:val="4"/>
          </w:tcPr>
          <w:p w:rsidR="002B666A" w:rsidRPr="00307D5D" w:rsidRDefault="002B666A" w:rsidP="002B666A">
            <w:pPr>
              <w:jc w:val="both"/>
              <w:rPr>
                <w:rFonts w:ascii="Arial" w:hAnsi="Arial" w:cs="Arial"/>
                <w:b/>
                <w:lang w:val="ru-RU"/>
              </w:rPr>
            </w:pPr>
          </w:p>
        </w:tc>
        <w:tc>
          <w:tcPr>
            <w:tcW w:w="5245" w:type="dxa"/>
          </w:tcPr>
          <w:p w:rsidR="002B666A" w:rsidRPr="00307D5D" w:rsidRDefault="002B666A" w:rsidP="002B666A"/>
        </w:tc>
      </w:tr>
      <w:tr w:rsidR="002B666A" w:rsidRPr="00E26C43" w:rsidTr="002B666A">
        <w:trPr>
          <w:gridAfter w:val="2"/>
          <w:wAfter w:w="5387" w:type="dxa"/>
        </w:trPr>
        <w:tc>
          <w:tcPr>
            <w:tcW w:w="5279" w:type="dxa"/>
            <w:gridSpan w:val="2"/>
          </w:tcPr>
          <w:p w:rsidR="002B666A" w:rsidRPr="00307D5D" w:rsidRDefault="002B666A" w:rsidP="002B666A">
            <w:pPr>
              <w:jc w:val="both"/>
              <w:rPr>
                <w:rFonts w:ascii="Arial" w:hAnsi="Arial" w:cs="Arial"/>
                <w:lang w:val="ru-RU"/>
              </w:rPr>
            </w:pPr>
            <w:r w:rsidRPr="00307D5D">
              <w:rPr>
                <w:rFonts w:ascii="Arial" w:hAnsi="Arial" w:cs="Arial"/>
                <w:b/>
                <w:bCs/>
                <w:lang w:val="ru-RU"/>
              </w:rPr>
              <w:t>Клиент:</w:t>
            </w:r>
            <w:r w:rsidRPr="00307D5D">
              <w:rPr>
                <w:rFonts w:ascii="Arial" w:hAnsi="Arial" w:cs="Arial"/>
                <w:lang w:val="ru-RU"/>
              </w:rPr>
              <w:t xml:space="preserve"> </w:t>
            </w:r>
          </w:p>
          <w:p w:rsidR="002B666A" w:rsidRPr="00307D5D" w:rsidRDefault="002B666A" w:rsidP="002B666A">
            <w:pPr>
              <w:jc w:val="both"/>
              <w:rPr>
                <w:rFonts w:ascii="Arial" w:hAnsi="Arial" w:cs="Arial"/>
                <w:lang w:val="ru-RU"/>
              </w:rPr>
            </w:pP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rPr>
              <w:fldChar w:fldCharType="end"/>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p>
          <w:p w:rsidR="002B666A" w:rsidRPr="00307D5D" w:rsidRDefault="002B666A" w:rsidP="002B666A">
            <w:pPr>
              <w:ind w:right="175"/>
              <w:rPr>
                <w:rFonts w:ascii="Arial" w:hAnsi="Arial" w:cs="Arial"/>
                <w:lang w:val="ru-RU"/>
              </w:rPr>
            </w:pPr>
            <w:r w:rsidRPr="00307D5D">
              <w:rPr>
                <w:rFonts w:ascii="Arial" w:hAnsi="Arial" w:cs="Arial"/>
                <w:lang w:val="ru-RU"/>
              </w:rPr>
              <w:t>Место нахождения:</w:t>
            </w:r>
          </w:p>
          <w:p w:rsidR="002B666A" w:rsidRPr="00307D5D" w:rsidRDefault="002B666A" w:rsidP="002B666A">
            <w:pPr>
              <w:ind w:right="175"/>
              <w:rPr>
                <w:rFonts w:ascii="Arial" w:hAnsi="Arial" w:cs="Arial"/>
                <w:lang w:val="ru-RU"/>
              </w:rPr>
            </w:pP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rPr>
              <w:fldChar w:fldCharType="end"/>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p>
          <w:p w:rsidR="002B666A" w:rsidRPr="00307D5D" w:rsidRDefault="002B666A" w:rsidP="002B666A">
            <w:pPr>
              <w:ind w:right="175"/>
              <w:rPr>
                <w:rFonts w:ascii="Arial" w:hAnsi="Arial" w:cs="Arial"/>
                <w:lang w:val="ru-RU"/>
              </w:rPr>
            </w:pPr>
            <w:r w:rsidRPr="00307D5D">
              <w:rPr>
                <w:rFonts w:ascii="Arial" w:hAnsi="Arial" w:cs="Arial"/>
                <w:lang w:val="ru-RU"/>
              </w:rPr>
              <w:t>Почтовый адрес:</w:t>
            </w:r>
          </w:p>
          <w:p w:rsidR="002B666A" w:rsidRPr="00307D5D" w:rsidRDefault="002B666A" w:rsidP="002B666A">
            <w:pPr>
              <w:ind w:right="175"/>
              <w:rPr>
                <w:rFonts w:ascii="Arial" w:hAnsi="Arial" w:cs="Arial"/>
                <w:lang w:val="ru-RU"/>
              </w:rPr>
            </w:pP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rPr>
              <w:fldChar w:fldCharType="begin">
                <w:ffData>
                  <w:name w:val="ТекстовоеПоле1"/>
                  <w:enabled/>
                  <w:calcOnExit w:val="0"/>
                  <w:textInput/>
                </w:ffData>
              </w:fldChar>
            </w:r>
            <w:r w:rsidRPr="00307D5D">
              <w:rPr>
                <w:rFonts w:ascii="Arial" w:hAnsi="Arial" w:cs="Arial"/>
                <w:lang w:val="ru-RU"/>
              </w:rPr>
              <w:instrText xml:space="preserve"> </w:instrText>
            </w:r>
            <w:r w:rsidRPr="00307D5D">
              <w:rPr>
                <w:rFonts w:ascii="Arial" w:hAnsi="Arial" w:cs="Arial"/>
              </w:rPr>
              <w:instrText>FORMTEXT</w:instrText>
            </w:r>
            <w:r w:rsidRPr="00307D5D">
              <w:rPr>
                <w:rFonts w:ascii="Arial" w:hAnsi="Arial" w:cs="Arial"/>
                <w:lang w:val="ru-RU"/>
              </w:rPr>
              <w:instrText xml:space="preserve"> </w:instrText>
            </w:r>
            <w:r w:rsidRPr="00307D5D">
              <w:rPr>
                <w:rFonts w:ascii="Arial" w:hAnsi="Arial" w:cs="Arial"/>
              </w:rPr>
            </w:r>
            <w:r w:rsidRPr="00307D5D">
              <w:rPr>
                <w:rFonts w:ascii="Arial" w:hAnsi="Arial" w:cs="Arial"/>
              </w:rPr>
              <w:fldChar w:fldCharType="separate"/>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noProof/>
              </w:rPr>
              <w:t> </w:t>
            </w:r>
            <w:r w:rsidRPr="00307D5D">
              <w:rPr>
                <w:rFonts w:ascii="Arial" w:hAnsi="Arial" w:cs="Arial"/>
              </w:rPr>
              <w:fldChar w:fldCharType="end"/>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t> </w:t>
            </w:r>
            <w:r w:rsidRPr="00307D5D">
              <w:rPr>
                <w:rFonts w:ascii="Arial" w:hAnsi="Arial" w:cs="Arial"/>
              </w:rPr>
              <w:fldChar w:fldCharType="end"/>
            </w:r>
          </w:p>
          <w:p w:rsidR="002B666A" w:rsidRPr="00307D5D" w:rsidRDefault="002B666A" w:rsidP="002B666A">
            <w:pPr>
              <w:ind w:right="175"/>
              <w:rPr>
                <w:rFonts w:ascii="Arial" w:hAnsi="Arial" w:cs="Arial"/>
                <w:lang w:val="ru-RU"/>
              </w:rPr>
            </w:pPr>
            <w:r w:rsidRPr="00307D5D">
              <w:rPr>
                <w:rFonts w:ascii="Arial" w:hAnsi="Arial" w:cs="Arial"/>
                <w:lang w:val="ru-RU"/>
              </w:rPr>
              <w:t xml:space="preserve">ИНН Клиента </w:t>
            </w:r>
          </w:p>
          <w:p w:rsidR="002B666A" w:rsidRPr="00307D5D" w:rsidRDefault="002B666A" w:rsidP="002B666A">
            <w:pPr>
              <w:ind w:right="175"/>
              <w:rPr>
                <w:rFonts w:ascii="Arial" w:hAnsi="Arial" w:cs="Arial"/>
                <w:lang w:val="ru-RU"/>
              </w:rPr>
            </w:pPr>
            <w:r w:rsidRPr="00307D5D">
              <w:rPr>
                <w:rFonts w:ascii="Arial" w:hAnsi="Arial" w:cs="Arial"/>
                <w:lang w:val="ru-RU"/>
              </w:rPr>
              <w:t xml:space="preserve">КПП </w:t>
            </w:r>
          </w:p>
          <w:p w:rsidR="002B666A" w:rsidRPr="00307D5D" w:rsidRDefault="002B666A" w:rsidP="002B666A">
            <w:pPr>
              <w:ind w:right="175"/>
              <w:rPr>
                <w:rFonts w:ascii="Arial" w:hAnsi="Arial" w:cs="Arial"/>
                <w:lang w:val="ru-RU"/>
              </w:rPr>
            </w:pPr>
            <w:r w:rsidRPr="00307D5D">
              <w:rPr>
                <w:rFonts w:ascii="Arial" w:hAnsi="Arial" w:cs="Arial"/>
                <w:lang w:val="ru-RU"/>
              </w:rPr>
              <w:t xml:space="preserve">р/с </w:t>
            </w:r>
          </w:p>
          <w:p w:rsidR="002B666A" w:rsidRPr="00307D5D" w:rsidRDefault="002B666A" w:rsidP="002B666A">
            <w:pPr>
              <w:ind w:right="175"/>
              <w:rPr>
                <w:rFonts w:ascii="Arial" w:hAnsi="Arial" w:cs="Arial"/>
                <w:lang w:val="ru-RU"/>
              </w:rPr>
            </w:pPr>
            <w:r w:rsidRPr="00307D5D">
              <w:rPr>
                <w:rFonts w:ascii="Arial" w:hAnsi="Arial" w:cs="Arial"/>
                <w:lang w:val="ru-RU"/>
              </w:rPr>
              <w:t xml:space="preserve">в </w:t>
            </w:r>
          </w:p>
          <w:p w:rsidR="002B666A" w:rsidRPr="00307D5D" w:rsidRDefault="002B666A" w:rsidP="002B666A">
            <w:pPr>
              <w:ind w:right="175"/>
              <w:rPr>
                <w:rFonts w:ascii="Arial" w:hAnsi="Arial" w:cs="Arial"/>
                <w:lang w:val="ru-RU"/>
              </w:rPr>
            </w:pPr>
            <w:r w:rsidRPr="00307D5D">
              <w:rPr>
                <w:rFonts w:ascii="Arial" w:hAnsi="Arial" w:cs="Arial"/>
                <w:lang w:val="ru-RU"/>
              </w:rPr>
              <w:t xml:space="preserve">к/с </w:t>
            </w:r>
          </w:p>
          <w:p w:rsidR="002B666A" w:rsidRPr="00307D5D" w:rsidRDefault="002B666A" w:rsidP="002B666A">
            <w:pPr>
              <w:ind w:right="175"/>
              <w:rPr>
                <w:rFonts w:ascii="Arial" w:hAnsi="Arial" w:cs="Arial"/>
                <w:lang w:val="ru-RU"/>
              </w:rPr>
            </w:pPr>
            <w:r w:rsidRPr="00307D5D">
              <w:rPr>
                <w:rFonts w:ascii="Arial" w:hAnsi="Arial" w:cs="Arial"/>
                <w:lang w:val="ru-RU"/>
              </w:rPr>
              <w:t xml:space="preserve">БИК </w:t>
            </w:r>
          </w:p>
          <w:p w:rsidR="002B666A" w:rsidRPr="00307D5D" w:rsidRDefault="002B666A" w:rsidP="002B666A">
            <w:pPr>
              <w:ind w:right="175"/>
              <w:rPr>
                <w:rFonts w:ascii="Arial" w:hAnsi="Arial" w:cs="Arial"/>
                <w:lang w:val="ru-RU"/>
              </w:rPr>
            </w:pPr>
            <w:r w:rsidRPr="00307D5D">
              <w:rPr>
                <w:rFonts w:ascii="Arial" w:hAnsi="Arial" w:cs="Arial"/>
                <w:lang w:val="ru-RU"/>
              </w:rPr>
              <w:t xml:space="preserve">Тел.: </w:t>
            </w:r>
          </w:p>
          <w:p w:rsidR="002B666A" w:rsidRPr="00307D5D" w:rsidRDefault="002B666A" w:rsidP="002B666A">
            <w:pPr>
              <w:ind w:right="175"/>
              <w:rPr>
                <w:rFonts w:ascii="Arial" w:hAnsi="Arial" w:cs="Arial"/>
                <w:lang w:val="ru-RU"/>
              </w:rPr>
            </w:pPr>
            <w:r w:rsidRPr="00307D5D">
              <w:rPr>
                <w:rFonts w:ascii="Arial" w:hAnsi="Arial" w:cs="Arial"/>
                <w:lang w:val="ru-RU"/>
              </w:rPr>
              <w:t xml:space="preserve">Факс: </w:t>
            </w:r>
          </w:p>
          <w:p w:rsidR="002B666A" w:rsidRPr="00307D5D" w:rsidRDefault="002B666A" w:rsidP="002B666A">
            <w:pPr>
              <w:ind w:right="175"/>
              <w:rPr>
                <w:rFonts w:ascii="Arial" w:hAnsi="Arial" w:cs="Arial"/>
                <w:lang w:val="ru-RU"/>
              </w:rPr>
            </w:pPr>
            <w:r w:rsidRPr="00307D5D">
              <w:rPr>
                <w:rFonts w:ascii="Arial" w:hAnsi="Arial" w:cs="Arial"/>
                <w:lang w:val="en-US"/>
              </w:rPr>
              <w:t>E</w:t>
            </w:r>
            <w:r w:rsidRPr="00307D5D">
              <w:rPr>
                <w:rFonts w:ascii="Arial" w:hAnsi="Arial" w:cs="Arial"/>
                <w:lang w:val="ru-RU"/>
              </w:rPr>
              <w:t>-</w:t>
            </w:r>
            <w:r w:rsidRPr="00307D5D">
              <w:rPr>
                <w:rFonts w:ascii="Arial" w:hAnsi="Arial" w:cs="Arial"/>
                <w:lang w:val="en-US"/>
              </w:rPr>
              <w:t>mail</w:t>
            </w:r>
            <w:r w:rsidRPr="00307D5D">
              <w:rPr>
                <w:rFonts w:ascii="Arial" w:hAnsi="Arial" w:cs="Arial"/>
                <w:lang w:val="ru-RU"/>
              </w:rPr>
              <w:t xml:space="preserve">: </w:t>
            </w:r>
          </w:p>
          <w:p w:rsidR="002B666A" w:rsidRPr="00BF3347" w:rsidRDefault="002B666A" w:rsidP="002B666A">
            <w:pPr>
              <w:jc w:val="both"/>
              <w:rPr>
                <w:rFonts w:ascii="Arial" w:hAnsi="Arial" w:cs="Arial"/>
                <w:b/>
                <w:lang w:val="ru-RU"/>
              </w:rPr>
            </w:pPr>
          </w:p>
        </w:tc>
        <w:tc>
          <w:tcPr>
            <w:tcW w:w="5245" w:type="dxa"/>
          </w:tcPr>
          <w:p w:rsidR="002B666A" w:rsidRPr="00307D5D" w:rsidRDefault="002B666A" w:rsidP="002B666A">
            <w:pPr>
              <w:jc w:val="both"/>
              <w:rPr>
                <w:rFonts w:ascii="Arial" w:hAnsi="Arial" w:cs="Arial"/>
                <w:b/>
                <w:bCs/>
                <w:lang w:val="ru-RU"/>
              </w:rPr>
            </w:pPr>
            <w:r w:rsidRPr="00307D5D">
              <w:rPr>
                <w:rFonts w:ascii="Arial" w:hAnsi="Arial" w:cs="Arial"/>
                <w:b/>
                <w:bCs/>
                <w:lang w:val="ru-RU"/>
              </w:rPr>
              <w:t>Инвестиционный советник:</w:t>
            </w:r>
          </w:p>
          <w:p w:rsidR="002B666A" w:rsidRPr="00307D5D" w:rsidRDefault="002B666A" w:rsidP="002B666A">
            <w:pPr>
              <w:jc w:val="both"/>
              <w:rPr>
                <w:rFonts w:ascii="Arial" w:hAnsi="Arial" w:cs="Arial"/>
                <w:b/>
                <w:bCs/>
                <w:lang w:val="ru-RU"/>
              </w:rPr>
            </w:pPr>
            <w:r w:rsidRPr="00307D5D">
              <w:rPr>
                <w:rFonts w:ascii="Arial" w:hAnsi="Arial" w:cs="Arial"/>
                <w:b/>
                <w:bCs/>
                <w:lang w:val="ru-RU"/>
              </w:rPr>
              <w:t>Общество с ограниченной ответственностью «Управляющая компания «Альфа-Капитал»</w:t>
            </w:r>
          </w:p>
          <w:p w:rsidR="002B666A" w:rsidRPr="00307D5D" w:rsidRDefault="002B666A" w:rsidP="002B666A">
            <w:pPr>
              <w:tabs>
                <w:tab w:val="num" w:pos="-180"/>
                <w:tab w:val="left" w:pos="720"/>
              </w:tabs>
              <w:jc w:val="both"/>
              <w:rPr>
                <w:rFonts w:ascii="Arial" w:hAnsi="Arial" w:cs="Arial"/>
                <w:lang w:val="ru-RU"/>
              </w:rPr>
            </w:pPr>
            <w:r w:rsidRPr="00307D5D">
              <w:rPr>
                <w:rFonts w:ascii="Arial" w:hAnsi="Arial" w:cs="Arial"/>
                <w:b/>
                <w:lang w:val="ru-RU"/>
              </w:rPr>
              <w:t>Место нахождения:</w:t>
            </w:r>
            <w:r w:rsidRPr="00307D5D">
              <w:rPr>
                <w:rFonts w:ascii="Arial" w:hAnsi="Arial" w:cs="Arial"/>
                <w:lang w:val="ru-RU"/>
              </w:rPr>
              <w:t xml:space="preserve"> Российская Федерация, 123001, </w:t>
            </w:r>
          </w:p>
          <w:p w:rsidR="002B666A" w:rsidRPr="00307D5D" w:rsidRDefault="002B666A" w:rsidP="002B666A">
            <w:pPr>
              <w:tabs>
                <w:tab w:val="num" w:pos="-180"/>
                <w:tab w:val="left" w:pos="720"/>
              </w:tabs>
              <w:jc w:val="both"/>
              <w:rPr>
                <w:rFonts w:ascii="Arial" w:hAnsi="Arial" w:cs="Arial"/>
                <w:lang w:val="ru-RU"/>
              </w:rPr>
            </w:pPr>
            <w:r w:rsidRPr="00307D5D">
              <w:rPr>
                <w:rFonts w:ascii="Arial" w:hAnsi="Arial" w:cs="Arial"/>
                <w:lang w:val="ru-RU"/>
              </w:rPr>
              <w:t>г. Москва, Садовая-Кудринская улица, дом 32, строение 1.</w:t>
            </w:r>
          </w:p>
          <w:p w:rsidR="002B666A" w:rsidRPr="00307D5D" w:rsidRDefault="002B666A" w:rsidP="002B666A">
            <w:pPr>
              <w:tabs>
                <w:tab w:val="num" w:pos="-180"/>
                <w:tab w:val="left" w:pos="720"/>
              </w:tabs>
              <w:jc w:val="both"/>
              <w:rPr>
                <w:rFonts w:ascii="Arial" w:hAnsi="Arial" w:cs="Arial"/>
                <w:lang w:val="ru-RU"/>
              </w:rPr>
            </w:pPr>
            <w:r w:rsidRPr="00307D5D">
              <w:rPr>
                <w:rFonts w:ascii="Arial" w:hAnsi="Arial" w:cs="Arial"/>
                <w:b/>
                <w:lang w:val="ru-RU"/>
              </w:rPr>
              <w:t>Почтовый адрес:</w:t>
            </w:r>
            <w:r w:rsidRPr="00307D5D">
              <w:rPr>
                <w:rFonts w:ascii="Arial" w:hAnsi="Arial" w:cs="Arial"/>
                <w:lang w:val="ru-RU"/>
              </w:rPr>
              <w:t xml:space="preserve"> Российская Федерация, 123001, г. Москва, Садовая-Кудринская улица, дом 32, строение 1.</w:t>
            </w:r>
          </w:p>
          <w:p w:rsidR="002B666A" w:rsidRPr="00307D5D" w:rsidRDefault="002B666A" w:rsidP="002B666A">
            <w:pPr>
              <w:ind w:right="175"/>
              <w:rPr>
                <w:rFonts w:ascii="Arial" w:hAnsi="Arial" w:cs="Arial"/>
                <w:lang w:val="ru-RU"/>
              </w:rPr>
            </w:pPr>
            <w:r w:rsidRPr="00307D5D">
              <w:rPr>
                <w:rFonts w:ascii="Arial" w:hAnsi="Arial" w:cs="Arial"/>
                <w:lang w:val="ru-RU"/>
              </w:rPr>
              <w:t>ИНН 7728142469 КПП 770301001</w:t>
            </w:r>
          </w:p>
          <w:p w:rsidR="002B666A" w:rsidRPr="00307D5D" w:rsidRDefault="002B666A" w:rsidP="002B666A">
            <w:pPr>
              <w:jc w:val="both"/>
              <w:rPr>
                <w:rFonts w:ascii="Arial" w:hAnsi="Arial" w:cs="Arial"/>
                <w:lang w:val="ru-RU"/>
              </w:rPr>
            </w:pPr>
            <w:r w:rsidRPr="00307D5D">
              <w:rPr>
                <w:rFonts w:ascii="Arial" w:hAnsi="Arial" w:cs="Arial"/>
                <w:lang w:val="ru-RU"/>
              </w:rPr>
              <w:t>Р/с 4070 1810 9027 5000 0386</w:t>
            </w:r>
          </w:p>
          <w:p w:rsidR="002B666A" w:rsidRPr="00307D5D" w:rsidRDefault="002B666A" w:rsidP="002B666A">
            <w:pPr>
              <w:jc w:val="both"/>
              <w:rPr>
                <w:rFonts w:ascii="Arial" w:hAnsi="Arial" w:cs="Arial"/>
                <w:lang w:val="ru-RU"/>
              </w:rPr>
            </w:pPr>
            <w:r w:rsidRPr="00307D5D">
              <w:rPr>
                <w:rFonts w:ascii="Arial" w:hAnsi="Arial" w:cs="Arial"/>
                <w:lang w:val="ru-RU"/>
              </w:rPr>
              <w:t>в АО «Альфа-Банк» г. Москва</w:t>
            </w:r>
          </w:p>
          <w:p w:rsidR="002B666A" w:rsidRPr="00307D5D" w:rsidRDefault="002B666A" w:rsidP="002B666A">
            <w:pPr>
              <w:jc w:val="both"/>
              <w:rPr>
                <w:rFonts w:ascii="Arial" w:hAnsi="Arial" w:cs="Arial"/>
                <w:lang w:val="ru-RU"/>
              </w:rPr>
            </w:pPr>
            <w:r w:rsidRPr="00307D5D">
              <w:rPr>
                <w:rFonts w:ascii="Arial" w:hAnsi="Arial" w:cs="Arial"/>
                <w:lang w:val="ru-RU"/>
              </w:rPr>
              <w:t>к/с 30101810200000000593</w:t>
            </w:r>
          </w:p>
          <w:p w:rsidR="002B666A" w:rsidRPr="00307D5D" w:rsidRDefault="002B666A" w:rsidP="002B666A">
            <w:pPr>
              <w:jc w:val="both"/>
              <w:rPr>
                <w:rFonts w:ascii="Arial" w:hAnsi="Arial" w:cs="Arial"/>
                <w:lang w:val="ru-RU"/>
              </w:rPr>
            </w:pPr>
            <w:r w:rsidRPr="00307D5D">
              <w:rPr>
                <w:rFonts w:ascii="Arial" w:hAnsi="Arial" w:cs="Arial"/>
                <w:lang w:val="ru-RU"/>
              </w:rPr>
              <w:t>БИК 044525593</w:t>
            </w:r>
          </w:p>
          <w:p w:rsidR="002B666A" w:rsidRPr="00307D5D" w:rsidRDefault="002B666A" w:rsidP="002B666A">
            <w:pPr>
              <w:jc w:val="both"/>
              <w:rPr>
                <w:rFonts w:ascii="Arial" w:hAnsi="Arial" w:cs="Arial"/>
                <w:lang w:val="ru-RU"/>
              </w:rPr>
            </w:pPr>
            <w:r w:rsidRPr="00307D5D">
              <w:rPr>
                <w:rFonts w:ascii="Arial" w:hAnsi="Arial" w:cs="Arial"/>
                <w:lang w:val="ru-RU"/>
              </w:rPr>
              <w:t xml:space="preserve">Тел.: </w:t>
            </w:r>
            <w:r w:rsidRPr="00307D5D">
              <w:rPr>
                <w:rFonts w:ascii="Arial" w:eastAsia="Arial" w:hAnsi="Arial" w:cs="Arial"/>
                <w:lang w:val="ru-RU" w:bidi="en-GB"/>
              </w:rPr>
              <w:t xml:space="preserve">+7 </w:t>
            </w:r>
            <w:r w:rsidRPr="00307D5D">
              <w:rPr>
                <w:rFonts w:ascii="Arial" w:hAnsi="Arial" w:cs="Arial"/>
                <w:lang w:val="ru-RU"/>
              </w:rPr>
              <w:t>(495) 797 31 52/54</w:t>
            </w:r>
          </w:p>
          <w:p w:rsidR="002B666A" w:rsidRPr="00307D5D" w:rsidRDefault="002B666A" w:rsidP="002B666A">
            <w:pPr>
              <w:jc w:val="both"/>
              <w:rPr>
                <w:rFonts w:ascii="Arial" w:hAnsi="Arial" w:cs="Arial"/>
                <w:lang w:val="ru-RU"/>
              </w:rPr>
            </w:pPr>
            <w:r w:rsidRPr="00307D5D">
              <w:rPr>
                <w:rFonts w:ascii="Arial" w:hAnsi="Arial" w:cs="Arial"/>
                <w:lang w:val="ru-RU"/>
              </w:rPr>
              <w:t xml:space="preserve">Факс: </w:t>
            </w:r>
            <w:r w:rsidRPr="00307D5D">
              <w:rPr>
                <w:rFonts w:ascii="Arial" w:eastAsia="Arial" w:hAnsi="Arial" w:cs="Arial"/>
                <w:lang w:val="ru-RU" w:bidi="en-GB"/>
              </w:rPr>
              <w:t xml:space="preserve">+7 </w:t>
            </w:r>
            <w:r w:rsidRPr="00307D5D">
              <w:rPr>
                <w:rFonts w:ascii="Arial" w:hAnsi="Arial" w:cs="Arial"/>
                <w:lang w:val="ru-RU"/>
              </w:rPr>
              <w:t>(495) 797 31 51</w:t>
            </w:r>
          </w:p>
          <w:p w:rsidR="002B666A" w:rsidRPr="00307D5D" w:rsidRDefault="002B666A" w:rsidP="002B666A">
            <w:pPr>
              <w:jc w:val="both"/>
              <w:rPr>
                <w:rFonts w:ascii="Arial" w:hAnsi="Arial" w:cs="Arial"/>
                <w:lang w:val="ru-RU"/>
              </w:rPr>
            </w:pPr>
            <w:r w:rsidRPr="00307D5D">
              <w:rPr>
                <w:rFonts w:ascii="Arial" w:hAnsi="Arial" w:cs="Arial"/>
                <w:lang w:val="ru-RU"/>
              </w:rPr>
              <w:t xml:space="preserve">Интернет сайт: </w:t>
            </w:r>
            <w:r w:rsidRPr="00307D5D">
              <w:rPr>
                <w:rFonts w:ascii="Arial" w:hAnsi="Arial" w:cs="Arial"/>
                <w:lang w:val="en-US"/>
              </w:rPr>
              <w:t>www</w:t>
            </w:r>
            <w:r w:rsidRPr="00307D5D">
              <w:rPr>
                <w:rFonts w:ascii="Arial" w:hAnsi="Arial" w:cs="Arial"/>
                <w:lang w:val="ru-RU"/>
              </w:rPr>
              <w:t>.</w:t>
            </w:r>
            <w:r w:rsidRPr="00307D5D">
              <w:rPr>
                <w:rFonts w:ascii="Arial" w:hAnsi="Arial" w:cs="Arial"/>
                <w:lang w:val="en-US"/>
              </w:rPr>
              <w:t>alfacapital</w:t>
            </w:r>
            <w:r w:rsidRPr="00307D5D">
              <w:rPr>
                <w:rFonts w:ascii="Arial" w:hAnsi="Arial" w:cs="Arial"/>
                <w:lang w:val="ru-RU"/>
              </w:rPr>
              <w:t>.</w:t>
            </w:r>
            <w:r w:rsidRPr="00307D5D">
              <w:rPr>
                <w:rFonts w:ascii="Arial" w:hAnsi="Arial" w:cs="Arial"/>
                <w:lang w:val="en-US"/>
              </w:rPr>
              <w:t>ru</w:t>
            </w:r>
          </w:p>
          <w:p w:rsidR="002B666A" w:rsidRPr="00307D5D" w:rsidRDefault="002B666A" w:rsidP="002B666A">
            <w:pPr>
              <w:jc w:val="both"/>
              <w:rPr>
                <w:rFonts w:ascii="Arial" w:hAnsi="Arial" w:cs="Arial"/>
                <w:lang w:val="ru-RU"/>
              </w:rPr>
            </w:pPr>
            <w:r w:rsidRPr="00307D5D">
              <w:rPr>
                <w:rFonts w:ascii="Arial" w:hAnsi="Arial" w:cs="Arial"/>
                <w:lang w:val="en-US"/>
              </w:rPr>
              <w:t>E</w:t>
            </w:r>
            <w:r w:rsidRPr="00307D5D">
              <w:rPr>
                <w:rFonts w:ascii="Arial" w:hAnsi="Arial" w:cs="Arial"/>
                <w:lang w:val="ru-RU"/>
              </w:rPr>
              <w:t>-</w:t>
            </w:r>
            <w:r w:rsidRPr="00307D5D">
              <w:rPr>
                <w:rFonts w:ascii="Arial" w:hAnsi="Arial" w:cs="Arial"/>
                <w:lang w:val="en-US"/>
              </w:rPr>
              <w:t>mail</w:t>
            </w:r>
            <w:r w:rsidRPr="00307D5D">
              <w:rPr>
                <w:rFonts w:ascii="Arial" w:hAnsi="Arial" w:cs="Arial"/>
                <w:lang w:val="ru-RU"/>
              </w:rPr>
              <w:t xml:space="preserve">: </w:t>
            </w:r>
            <w:r w:rsidRPr="00307D5D">
              <w:rPr>
                <w:rFonts w:ascii="Arial" w:hAnsi="Arial" w:cs="Arial"/>
                <w:lang w:val="en-US"/>
              </w:rPr>
              <w:t>info</w:t>
            </w:r>
            <w:r w:rsidRPr="00307D5D">
              <w:rPr>
                <w:rFonts w:ascii="Arial" w:hAnsi="Arial" w:cs="Arial"/>
                <w:lang w:val="ru-RU"/>
              </w:rPr>
              <w:t>@</w:t>
            </w:r>
            <w:r w:rsidRPr="00307D5D">
              <w:rPr>
                <w:rFonts w:ascii="Arial" w:hAnsi="Arial" w:cs="Arial"/>
                <w:lang w:val="en-US"/>
              </w:rPr>
              <w:t>alfacapital</w:t>
            </w:r>
            <w:r w:rsidRPr="00307D5D">
              <w:rPr>
                <w:rFonts w:ascii="Arial" w:hAnsi="Arial" w:cs="Arial"/>
                <w:lang w:val="ru-RU"/>
              </w:rPr>
              <w:t>.</w:t>
            </w:r>
            <w:r w:rsidRPr="00307D5D">
              <w:rPr>
                <w:rFonts w:ascii="Arial" w:hAnsi="Arial" w:cs="Arial"/>
                <w:lang w:val="en-US"/>
              </w:rPr>
              <w:t>ru</w:t>
            </w:r>
          </w:p>
          <w:p w:rsidR="002B666A" w:rsidRPr="00307D5D" w:rsidRDefault="002B666A" w:rsidP="002B666A">
            <w:pPr>
              <w:ind w:left="-5495" w:firstLine="5495"/>
              <w:rPr>
                <w:rFonts w:ascii="Arial" w:hAnsi="Arial" w:cs="Arial"/>
                <w:b/>
                <w:bCs/>
                <w:lang w:val="ru-RU"/>
              </w:rPr>
            </w:pPr>
          </w:p>
        </w:tc>
      </w:tr>
      <w:tr w:rsidR="002B666A" w:rsidRPr="00E26C43" w:rsidTr="002B666A">
        <w:trPr>
          <w:gridAfter w:val="2"/>
          <w:wAfter w:w="5387" w:type="dxa"/>
        </w:trPr>
        <w:tc>
          <w:tcPr>
            <w:tcW w:w="5279" w:type="dxa"/>
            <w:gridSpan w:val="2"/>
          </w:tcPr>
          <w:p w:rsidR="002B666A" w:rsidRPr="00307D5D" w:rsidRDefault="002B666A" w:rsidP="002B666A">
            <w:pPr>
              <w:jc w:val="both"/>
              <w:rPr>
                <w:rFonts w:ascii="Arial" w:hAnsi="Arial" w:cs="Arial"/>
                <w:b/>
                <w:lang w:val="en-US"/>
              </w:rPr>
            </w:pPr>
            <w:proofErr w:type="spellStart"/>
            <w:r w:rsidRPr="00307D5D">
              <w:rPr>
                <w:rFonts w:ascii="Arial" w:hAnsi="Arial" w:cs="Arial"/>
                <w:b/>
                <w:lang w:val="en-US"/>
              </w:rPr>
              <w:t>Клиент</w:t>
            </w:r>
            <w:proofErr w:type="spellEnd"/>
            <w:r w:rsidRPr="00307D5D">
              <w:rPr>
                <w:rFonts w:ascii="Arial" w:hAnsi="Arial" w:cs="Arial"/>
                <w:b/>
                <w:lang w:val="en-US"/>
              </w:rPr>
              <w:t>:</w:t>
            </w:r>
          </w:p>
          <w:p w:rsidR="002B666A" w:rsidRPr="00307D5D" w:rsidRDefault="002B666A" w:rsidP="002B666A">
            <w:pPr>
              <w:jc w:val="both"/>
              <w:rPr>
                <w:rFonts w:ascii="Arial" w:hAnsi="Arial" w:cs="Arial"/>
                <w:b/>
                <w:lang w:val="en-US"/>
              </w:rPr>
            </w:pPr>
          </w:p>
          <w:p w:rsidR="002B666A" w:rsidRPr="00307D5D" w:rsidRDefault="002B666A" w:rsidP="002B666A">
            <w:pPr>
              <w:jc w:val="both"/>
              <w:rPr>
                <w:rFonts w:ascii="Arial" w:hAnsi="Arial" w:cs="Arial"/>
                <w:lang w:val="en-US"/>
              </w:rPr>
            </w:pPr>
            <w:r w:rsidRPr="00307D5D">
              <w:rPr>
                <w:rFonts w:ascii="Arial" w:hAnsi="Arial" w:cs="Arial"/>
                <w:lang w:val="en-US"/>
              </w:rPr>
              <w:t>____________________________/________________/</w:t>
            </w:r>
          </w:p>
          <w:p w:rsidR="002B666A" w:rsidRPr="00307D5D" w:rsidRDefault="002B666A" w:rsidP="002B666A">
            <w:pPr>
              <w:jc w:val="both"/>
              <w:rPr>
                <w:rFonts w:ascii="Arial" w:hAnsi="Arial" w:cs="Arial"/>
                <w:b/>
                <w:lang w:val="en-US"/>
              </w:rPr>
            </w:pPr>
          </w:p>
        </w:tc>
        <w:tc>
          <w:tcPr>
            <w:tcW w:w="5245" w:type="dxa"/>
          </w:tcPr>
          <w:p w:rsidR="002B666A" w:rsidRPr="004D4CA0" w:rsidRDefault="002B666A" w:rsidP="002B666A">
            <w:pPr>
              <w:ind w:left="-5495" w:firstLine="5495"/>
              <w:rPr>
                <w:rFonts w:ascii="Arial" w:hAnsi="Arial" w:cs="Arial"/>
                <w:b/>
                <w:bCs/>
                <w:lang w:val="ru-RU"/>
              </w:rPr>
            </w:pPr>
            <w:r w:rsidRPr="00307D5D">
              <w:rPr>
                <w:rFonts w:ascii="Arial" w:hAnsi="Arial" w:cs="Arial"/>
                <w:b/>
                <w:bCs/>
                <w:lang w:val="ru-RU"/>
              </w:rPr>
              <w:t>Инвестиционный советник</w:t>
            </w:r>
            <w:r w:rsidRPr="004D4CA0">
              <w:rPr>
                <w:rFonts w:ascii="Arial" w:eastAsia="Arial" w:hAnsi="Arial" w:cs="Arial"/>
                <w:b/>
                <w:lang w:val="ru-RU" w:bidi="en-GB"/>
              </w:rPr>
              <w:t>:</w:t>
            </w:r>
          </w:p>
          <w:p w:rsidR="002B666A" w:rsidRPr="004D4CA0" w:rsidRDefault="004D4CA0" w:rsidP="002B666A">
            <w:pPr>
              <w:ind w:left="-5495" w:firstLine="5495"/>
              <w:jc w:val="both"/>
              <w:rPr>
                <w:rFonts w:ascii="Arial" w:hAnsi="Arial" w:cs="Arial"/>
                <w:lang w:val="ru-RU"/>
              </w:rPr>
            </w:pPr>
            <w:r>
              <w:rPr>
                <w:rFonts w:ascii="Arial" w:hAnsi="Arial" w:cs="Arial"/>
                <w:lang w:val="ru-RU"/>
              </w:rPr>
              <w:t>Генеральный директор</w:t>
            </w:r>
          </w:p>
          <w:p w:rsidR="004D4CA0" w:rsidRDefault="002B666A" w:rsidP="002B666A">
            <w:pPr>
              <w:ind w:left="-5495" w:firstLine="5495"/>
              <w:jc w:val="both"/>
              <w:rPr>
                <w:rFonts w:ascii="Arial" w:hAnsi="Arial" w:cs="Arial"/>
                <w:lang w:val="ru-RU"/>
              </w:rPr>
            </w:pPr>
            <w:r w:rsidRPr="004D4CA0">
              <w:rPr>
                <w:rFonts w:ascii="Arial" w:hAnsi="Arial" w:cs="Arial"/>
                <w:lang w:val="ru-RU"/>
              </w:rPr>
              <w:t>____________________________/</w:t>
            </w:r>
            <w:r w:rsidR="004D4CA0">
              <w:rPr>
                <w:rFonts w:ascii="Arial" w:hAnsi="Arial" w:cs="Arial"/>
                <w:lang w:val="ru-RU"/>
              </w:rPr>
              <w:t>И.В. Кривошеева</w:t>
            </w:r>
          </w:p>
          <w:p w:rsidR="004D4CA0" w:rsidRDefault="004A0CA0" w:rsidP="004A0CA0">
            <w:pPr>
              <w:tabs>
                <w:tab w:val="left" w:pos="1032"/>
              </w:tabs>
              <w:ind w:left="-5495" w:firstLine="5495"/>
              <w:jc w:val="both"/>
              <w:rPr>
                <w:rFonts w:ascii="Arial" w:hAnsi="Arial" w:cs="Arial"/>
                <w:lang w:val="ru-RU"/>
              </w:rPr>
            </w:pPr>
            <w:r>
              <w:rPr>
                <w:rFonts w:ascii="Arial" w:hAnsi="Arial" w:cs="Arial"/>
                <w:lang w:val="ru-RU"/>
              </w:rPr>
              <w:tab/>
            </w:r>
          </w:p>
          <w:p w:rsidR="002B666A" w:rsidRPr="004A0CA0" w:rsidRDefault="004A0CA0" w:rsidP="004D4CA0">
            <w:pPr>
              <w:jc w:val="both"/>
              <w:rPr>
                <w:rFonts w:ascii="Arial" w:hAnsi="Arial" w:cs="Arial"/>
                <w:lang w:val="ru-RU"/>
              </w:rPr>
            </w:pPr>
            <w:r>
              <w:rPr>
                <w:rFonts w:ascii="Arial" w:hAnsi="Arial" w:cs="Arial"/>
                <w:lang w:val="ru-RU"/>
              </w:rPr>
              <w:t>М.П.</w:t>
            </w:r>
          </w:p>
          <w:p w:rsidR="004D4CA0" w:rsidRDefault="004D4CA0" w:rsidP="004D4CA0">
            <w:pPr>
              <w:jc w:val="both"/>
              <w:rPr>
                <w:rFonts w:ascii="Arial" w:hAnsi="Arial" w:cs="Arial"/>
                <w:lang w:val="ru-RU"/>
              </w:rPr>
            </w:pPr>
            <w:r>
              <w:rPr>
                <w:rFonts w:ascii="Arial" w:hAnsi="Arial" w:cs="Arial"/>
                <w:lang w:val="ru-RU"/>
              </w:rPr>
              <w:lastRenderedPageBreak/>
              <w:t>Главный бухгалтер</w:t>
            </w:r>
          </w:p>
          <w:p w:rsidR="004D4CA0" w:rsidRDefault="004D4CA0" w:rsidP="004D4CA0">
            <w:pPr>
              <w:jc w:val="both"/>
              <w:rPr>
                <w:rFonts w:ascii="Arial" w:hAnsi="Arial" w:cs="Arial"/>
                <w:lang w:val="ru-RU"/>
              </w:rPr>
            </w:pPr>
          </w:p>
          <w:p w:rsidR="004D4CA0" w:rsidRPr="004D4CA0" w:rsidRDefault="004D4CA0" w:rsidP="004D4CA0">
            <w:pPr>
              <w:jc w:val="both"/>
              <w:rPr>
                <w:rFonts w:ascii="Arial" w:hAnsi="Arial" w:cs="Arial"/>
                <w:lang w:val="ru-RU"/>
              </w:rPr>
            </w:pPr>
            <w:r>
              <w:rPr>
                <w:rFonts w:ascii="Arial" w:hAnsi="Arial" w:cs="Arial"/>
                <w:lang w:val="ru-RU"/>
              </w:rPr>
              <w:t>___________________________/С.С. Лизунова</w:t>
            </w:r>
          </w:p>
          <w:p w:rsidR="002B666A" w:rsidRPr="0054667F" w:rsidRDefault="002B666A" w:rsidP="002B666A">
            <w:pPr>
              <w:ind w:left="-5495" w:firstLine="5495"/>
              <w:rPr>
                <w:lang w:val="ru-RU"/>
              </w:rPr>
            </w:pPr>
          </w:p>
        </w:tc>
      </w:tr>
    </w:tbl>
    <w:p w:rsidR="002B666A" w:rsidRPr="0054667F" w:rsidRDefault="002B666A" w:rsidP="002B666A">
      <w:pPr>
        <w:rPr>
          <w:rFonts w:ascii="Arial" w:hAnsi="Arial" w:cs="Arial"/>
          <w:sz w:val="8"/>
          <w:szCs w:val="8"/>
          <w:lang w:val="ru-RU"/>
        </w:rPr>
      </w:pPr>
      <w:r w:rsidRPr="0054667F">
        <w:rPr>
          <w:rFonts w:ascii="Arial" w:hAnsi="Arial" w:cs="Arial"/>
          <w:b/>
          <w:sz w:val="8"/>
          <w:szCs w:val="8"/>
          <w:lang w:val="ru-RU"/>
        </w:rPr>
        <w:lastRenderedPageBreak/>
        <w:br w:type="page"/>
      </w:r>
    </w:p>
    <w:tbl>
      <w:tblPr>
        <w:tblW w:w="10666" w:type="dxa"/>
        <w:tblInd w:w="-176" w:type="dxa"/>
        <w:tblLayout w:type="fixed"/>
        <w:tblLook w:val="01E0" w:firstRow="1" w:lastRow="1" w:firstColumn="1" w:lastColumn="1" w:noHBand="0" w:noVBand="0"/>
      </w:tblPr>
      <w:tblGrid>
        <w:gridCol w:w="5421"/>
        <w:gridCol w:w="5245"/>
      </w:tblGrid>
      <w:tr w:rsidR="002B666A" w:rsidRPr="00E26C43" w:rsidTr="002B666A">
        <w:tc>
          <w:tcPr>
            <w:tcW w:w="5421" w:type="dxa"/>
          </w:tcPr>
          <w:p w:rsidR="002B666A" w:rsidRPr="00307D5D" w:rsidRDefault="002B666A" w:rsidP="002B666A">
            <w:pPr>
              <w:jc w:val="right"/>
              <w:rPr>
                <w:rFonts w:ascii="Arial" w:hAnsi="Arial" w:cs="Arial"/>
                <w:b/>
                <w:lang w:val="ru-RU"/>
              </w:rPr>
            </w:pPr>
          </w:p>
        </w:tc>
        <w:tc>
          <w:tcPr>
            <w:tcW w:w="5245" w:type="dxa"/>
          </w:tcPr>
          <w:p w:rsidR="002B666A" w:rsidRPr="0054667F" w:rsidRDefault="002B666A" w:rsidP="002B666A">
            <w:pPr>
              <w:jc w:val="right"/>
              <w:rPr>
                <w:lang w:val="ru-RU"/>
              </w:rPr>
            </w:pPr>
          </w:p>
        </w:tc>
      </w:tr>
    </w:tbl>
    <w:p w:rsidR="002B666A" w:rsidRPr="00307D5D" w:rsidRDefault="002B666A" w:rsidP="002B666A">
      <w:pPr>
        <w:rPr>
          <w:lang w:val="ru-RU"/>
        </w:rPr>
      </w:pPr>
    </w:p>
    <w:p w:rsidR="002B666A" w:rsidRPr="00665B16" w:rsidRDefault="002B666A" w:rsidP="002B666A">
      <w:pPr>
        <w:overflowPunct/>
        <w:autoSpaceDE/>
        <w:autoSpaceDN/>
        <w:adjustRightInd/>
        <w:spacing w:after="160" w:line="259" w:lineRule="auto"/>
        <w:textAlignment w:val="auto"/>
        <w:rPr>
          <w:rFonts w:ascii="Arial" w:hAnsi="Arial" w:cs="Arial"/>
          <w:iCs/>
          <w:lang w:val="ru-RU"/>
        </w:rPr>
      </w:pPr>
    </w:p>
    <w:tbl>
      <w:tblPr>
        <w:tblW w:w="10666" w:type="dxa"/>
        <w:tblInd w:w="-176" w:type="dxa"/>
        <w:tblLayout w:type="fixed"/>
        <w:tblLook w:val="01E0" w:firstRow="1" w:lastRow="1" w:firstColumn="1" w:lastColumn="1" w:noHBand="0" w:noVBand="0"/>
      </w:tblPr>
      <w:tblGrid>
        <w:gridCol w:w="10666"/>
      </w:tblGrid>
      <w:tr w:rsidR="002B666A" w:rsidRPr="00307D5D" w:rsidTr="002B666A">
        <w:tc>
          <w:tcPr>
            <w:tcW w:w="10666" w:type="dxa"/>
          </w:tcPr>
          <w:p w:rsidR="002B666A" w:rsidRPr="00307D5D" w:rsidRDefault="002B666A" w:rsidP="002B666A">
            <w:pPr>
              <w:tabs>
                <w:tab w:val="left" w:pos="5400"/>
              </w:tabs>
              <w:jc w:val="right"/>
              <w:rPr>
                <w:rFonts w:ascii="Arial" w:hAnsi="Arial" w:cs="Arial"/>
                <w:iCs/>
                <w:lang w:val="ru-RU"/>
              </w:rPr>
            </w:pPr>
            <w:r w:rsidRPr="00307D5D">
              <w:rPr>
                <w:rFonts w:ascii="Arial" w:hAnsi="Arial" w:cs="Arial"/>
                <w:iCs/>
                <w:lang w:val="ru-RU"/>
              </w:rPr>
              <w:t xml:space="preserve">Приложение № </w:t>
            </w:r>
            <w:r w:rsidR="009870F4">
              <w:rPr>
                <w:rFonts w:ascii="Arial" w:hAnsi="Arial" w:cs="Arial"/>
                <w:iCs/>
                <w:lang w:val="ru-RU"/>
              </w:rPr>
              <w:t>1</w:t>
            </w:r>
          </w:p>
          <w:p w:rsidR="002B666A" w:rsidRPr="00307D5D" w:rsidRDefault="002B666A" w:rsidP="002B666A">
            <w:pPr>
              <w:pStyle w:val="1"/>
              <w:jc w:val="right"/>
              <w:rPr>
                <w:b w:val="0"/>
                <w:sz w:val="20"/>
                <w:szCs w:val="20"/>
              </w:rPr>
            </w:pPr>
            <w:r w:rsidRPr="00307D5D">
              <w:rPr>
                <w:b w:val="0"/>
                <w:iCs/>
                <w:sz w:val="20"/>
                <w:szCs w:val="20"/>
              </w:rPr>
              <w:t xml:space="preserve">к </w:t>
            </w:r>
            <w:r w:rsidRPr="00307D5D">
              <w:rPr>
                <w:b w:val="0"/>
                <w:sz w:val="20"/>
                <w:szCs w:val="20"/>
              </w:rPr>
              <w:t xml:space="preserve">Договору № </w:t>
            </w:r>
            <w:r w:rsidRPr="00307D5D">
              <w:rPr>
                <w:sz w:val="20"/>
                <w:szCs w:val="20"/>
              </w:rPr>
              <w:fldChar w:fldCharType="begin">
                <w:ffData>
                  <w:name w:val="ТекстовоеПоле1"/>
                  <w:enabled/>
                  <w:calcOnExit w:val="0"/>
                  <w:textInput/>
                </w:ffData>
              </w:fldChar>
            </w:r>
            <w:r w:rsidRPr="00307D5D">
              <w:rPr>
                <w:sz w:val="20"/>
                <w:szCs w:val="20"/>
              </w:rPr>
              <w:instrText xml:space="preserve"> FORMTEXT </w:instrText>
            </w:r>
            <w:r w:rsidRPr="00307D5D">
              <w:rPr>
                <w:sz w:val="20"/>
                <w:szCs w:val="20"/>
              </w:rPr>
            </w:r>
            <w:r w:rsidRPr="00307D5D">
              <w:rPr>
                <w:sz w:val="20"/>
                <w:szCs w:val="20"/>
              </w:rPr>
              <w:fldChar w:fldCharType="separate"/>
            </w:r>
            <w:r w:rsidRPr="00307D5D">
              <w:rPr>
                <w:sz w:val="20"/>
                <w:szCs w:val="20"/>
              </w:rPr>
              <w:t> </w:t>
            </w:r>
            <w:r w:rsidRPr="00307D5D">
              <w:rPr>
                <w:sz w:val="20"/>
                <w:szCs w:val="20"/>
              </w:rPr>
              <w:t> </w:t>
            </w:r>
            <w:r w:rsidRPr="00307D5D">
              <w:rPr>
                <w:sz w:val="20"/>
                <w:szCs w:val="20"/>
              </w:rPr>
              <w:t> </w:t>
            </w:r>
            <w:r w:rsidRPr="00307D5D">
              <w:rPr>
                <w:sz w:val="20"/>
                <w:szCs w:val="20"/>
              </w:rPr>
              <w:t> </w:t>
            </w:r>
            <w:r w:rsidRPr="00307D5D">
              <w:rPr>
                <w:sz w:val="20"/>
                <w:szCs w:val="20"/>
              </w:rPr>
              <w:t> </w:t>
            </w:r>
            <w:r w:rsidRPr="00307D5D">
              <w:rPr>
                <w:sz w:val="20"/>
                <w:szCs w:val="20"/>
              </w:rPr>
              <w:fldChar w:fldCharType="end"/>
            </w:r>
          </w:p>
          <w:p w:rsidR="002B666A" w:rsidRPr="00307D5D" w:rsidRDefault="002B666A" w:rsidP="002B666A">
            <w:pPr>
              <w:tabs>
                <w:tab w:val="left" w:pos="5400"/>
              </w:tabs>
              <w:jc w:val="right"/>
              <w:rPr>
                <w:rFonts w:ascii="Arial" w:hAnsi="Arial" w:cs="Arial"/>
                <w:iCs/>
                <w:lang w:val="ru-RU"/>
              </w:rPr>
            </w:pPr>
            <w:r w:rsidRPr="00307D5D">
              <w:rPr>
                <w:rFonts w:ascii="Arial" w:hAnsi="Arial" w:cs="Arial"/>
                <w:iCs/>
                <w:lang w:val="ru-RU"/>
              </w:rPr>
              <w:t>от  «</w:t>
            </w:r>
            <w:r w:rsidRPr="00307D5D">
              <w:rPr>
                <w:rFonts w:ascii="Arial" w:hAnsi="Arial" w:cs="Arial"/>
                <w:iCs/>
                <w:lang w:val="ru-RU"/>
              </w:rPr>
              <w:fldChar w:fldCharType="begin">
                <w:ffData>
                  <w:name w:val="ТекстовоеПоле1"/>
                  <w:enabled/>
                  <w:calcOnExit w:val="0"/>
                  <w:textInput/>
                </w:ffData>
              </w:fldChar>
            </w:r>
            <w:r w:rsidRPr="00307D5D">
              <w:rPr>
                <w:rFonts w:ascii="Arial" w:hAnsi="Arial" w:cs="Arial"/>
                <w:iCs/>
                <w:lang w:val="ru-RU"/>
              </w:rPr>
              <w:instrText xml:space="preserve"> FORMTEXT </w:instrText>
            </w:r>
            <w:r w:rsidRPr="00307D5D">
              <w:rPr>
                <w:rFonts w:ascii="Arial" w:hAnsi="Arial" w:cs="Arial"/>
                <w:iCs/>
                <w:lang w:val="ru-RU"/>
              </w:rPr>
            </w:r>
            <w:r w:rsidRPr="00307D5D">
              <w:rPr>
                <w:rFonts w:ascii="Arial" w:hAnsi="Arial" w:cs="Arial"/>
                <w:iCs/>
                <w:lang w:val="ru-RU"/>
              </w:rPr>
              <w:fldChar w:fldCharType="separate"/>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fldChar w:fldCharType="end"/>
            </w:r>
            <w:r w:rsidRPr="00307D5D">
              <w:rPr>
                <w:rFonts w:ascii="Arial" w:hAnsi="Arial" w:cs="Arial"/>
                <w:iCs/>
                <w:lang w:val="ru-RU"/>
              </w:rPr>
              <w:t xml:space="preserve">» </w:t>
            </w:r>
            <w:r w:rsidRPr="00307D5D">
              <w:rPr>
                <w:rFonts w:ascii="Arial" w:hAnsi="Arial" w:cs="Arial"/>
                <w:iCs/>
                <w:lang w:val="ru-RU"/>
              </w:rPr>
              <w:fldChar w:fldCharType="begin">
                <w:ffData>
                  <w:name w:val="ТекстовоеПоле1"/>
                  <w:enabled/>
                  <w:calcOnExit w:val="0"/>
                  <w:textInput/>
                </w:ffData>
              </w:fldChar>
            </w:r>
            <w:r w:rsidRPr="00307D5D">
              <w:rPr>
                <w:rFonts w:ascii="Arial" w:hAnsi="Arial" w:cs="Arial"/>
                <w:iCs/>
                <w:lang w:val="ru-RU"/>
              </w:rPr>
              <w:instrText xml:space="preserve"> FORMTEXT </w:instrText>
            </w:r>
            <w:r w:rsidRPr="00307D5D">
              <w:rPr>
                <w:rFonts w:ascii="Arial" w:hAnsi="Arial" w:cs="Arial"/>
                <w:iCs/>
                <w:lang w:val="ru-RU"/>
              </w:rPr>
            </w:r>
            <w:r w:rsidRPr="00307D5D">
              <w:rPr>
                <w:rFonts w:ascii="Arial" w:hAnsi="Arial" w:cs="Arial"/>
                <w:iCs/>
                <w:lang w:val="ru-RU"/>
              </w:rPr>
              <w:fldChar w:fldCharType="separate"/>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fldChar w:fldCharType="end"/>
            </w:r>
            <w:r w:rsidRPr="00307D5D">
              <w:rPr>
                <w:rFonts w:ascii="Arial" w:hAnsi="Arial" w:cs="Arial"/>
                <w:iCs/>
                <w:lang w:val="ru-RU"/>
              </w:rPr>
              <w:t xml:space="preserve"> 20 _года</w:t>
            </w:r>
          </w:p>
          <w:p w:rsidR="002B666A" w:rsidRPr="00307D5D" w:rsidRDefault="002B666A" w:rsidP="002B666A">
            <w:pPr>
              <w:jc w:val="right"/>
              <w:rPr>
                <w:rFonts w:ascii="Arial" w:hAnsi="Arial" w:cs="Arial"/>
                <w:b/>
                <w:lang w:val="ru-RU"/>
              </w:rPr>
            </w:pPr>
          </w:p>
        </w:tc>
      </w:tr>
      <w:tr w:rsidR="002B666A" w:rsidRPr="00E26C43" w:rsidTr="002B666A">
        <w:tc>
          <w:tcPr>
            <w:tcW w:w="10666" w:type="dxa"/>
          </w:tcPr>
          <w:p w:rsidR="002B666A" w:rsidRPr="00307D5D" w:rsidRDefault="002B666A" w:rsidP="002B666A">
            <w:pPr>
              <w:widowControl w:val="0"/>
              <w:jc w:val="center"/>
              <w:rPr>
                <w:rFonts w:ascii="Arial" w:hAnsi="Arial" w:cs="Arial"/>
                <w:b/>
                <w:snapToGrid w:val="0"/>
                <w:lang w:val="ru-RU"/>
              </w:rPr>
            </w:pPr>
            <w:r w:rsidRPr="00307D5D">
              <w:rPr>
                <w:rFonts w:ascii="Arial" w:hAnsi="Arial" w:cs="Arial"/>
                <w:b/>
                <w:caps/>
                <w:snapToGrid w:val="0"/>
                <w:lang w:val="ru-RU"/>
              </w:rPr>
              <w:t>Уведомление о рисках,</w:t>
            </w:r>
          </w:p>
          <w:p w:rsidR="002B666A" w:rsidRPr="00307D5D" w:rsidRDefault="002B666A" w:rsidP="002B666A">
            <w:pPr>
              <w:widowControl w:val="0"/>
              <w:jc w:val="center"/>
              <w:rPr>
                <w:rFonts w:ascii="Arial" w:hAnsi="Arial" w:cs="Arial"/>
                <w:snapToGrid w:val="0"/>
                <w:lang w:val="ru-RU"/>
              </w:rPr>
            </w:pPr>
            <w:r w:rsidRPr="00307D5D">
              <w:rPr>
                <w:rFonts w:ascii="Arial" w:hAnsi="Arial" w:cs="Arial"/>
                <w:snapToGrid w:val="0"/>
                <w:lang w:val="ru-RU"/>
              </w:rPr>
              <w:t>связанных с осуществлением операций на рынке ценных бумаг</w:t>
            </w:r>
          </w:p>
          <w:p w:rsidR="002B666A" w:rsidRPr="00307D5D" w:rsidRDefault="002B666A" w:rsidP="002B666A">
            <w:pPr>
              <w:widowControl w:val="0"/>
              <w:jc w:val="center"/>
              <w:rPr>
                <w:rFonts w:ascii="Arial" w:hAnsi="Arial" w:cs="Arial"/>
                <w:snapToGrid w:val="0"/>
                <w:lang w:val="ru-RU"/>
              </w:rPr>
            </w:pPr>
          </w:p>
        </w:tc>
      </w:tr>
      <w:tr w:rsidR="002B666A" w:rsidRPr="00E26C43" w:rsidTr="002B666A">
        <w:tc>
          <w:tcPr>
            <w:tcW w:w="10666" w:type="dxa"/>
          </w:tcPr>
          <w:p w:rsidR="002B666A" w:rsidRPr="00307D5D" w:rsidRDefault="002B666A" w:rsidP="002B666A">
            <w:pPr>
              <w:pStyle w:val="a7"/>
              <w:numPr>
                <w:ilvl w:val="0"/>
                <w:numId w:val="8"/>
              </w:numPr>
              <w:spacing w:after="200"/>
              <w:ind w:left="0" w:firstLine="0"/>
              <w:contextualSpacing w:val="0"/>
              <w:jc w:val="both"/>
              <w:rPr>
                <w:rFonts w:ascii="Arial" w:hAnsi="Arial" w:cs="Arial"/>
                <w:snapToGrid w:val="0"/>
              </w:rPr>
            </w:pPr>
            <w:r w:rsidRPr="00307D5D">
              <w:rPr>
                <w:rFonts w:ascii="Arial" w:hAnsi="Arial" w:cs="Arial"/>
                <w:snapToGrid w:val="0"/>
              </w:rPr>
              <w:t>Общие положения о рисках, связанных с осуществлением операций на рынке ценных бумаг.</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Настоящее уведомление предоставляется Вам в связи с Вашим желанием осуществлять операции на рынке ценных бумаг.</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Данное уведомление не может раскрыть все риски, связанные со сделками с ценными бумагами. Главная цель уведомления</w:t>
            </w:r>
            <w:r w:rsidRPr="00307D5D">
              <w:rPr>
                <w:rFonts w:ascii="Arial" w:hAnsi="Arial" w:cs="Arial"/>
                <w:noProof/>
                <w:snapToGrid w:val="0"/>
                <w:lang w:val="ru-RU"/>
              </w:rPr>
              <w:t xml:space="preserve"> –</w:t>
            </w:r>
            <w:r w:rsidRPr="00307D5D">
              <w:rPr>
                <w:rFonts w:ascii="Arial" w:hAnsi="Arial" w:cs="Arial"/>
                <w:snapToGrid w:val="0"/>
                <w:lang w:val="ru-RU"/>
              </w:rPr>
              <w:t xml:space="preserve"> дать Вам основное представление о рисках, которые сопряжены с работой на рынке ценных бумаг, и предупредить Вас о возможных убытках, связанных с подобного рода сделками.</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Участие в операциях на рынке ценных бумаг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В первую очередь, это параметры системного характера, являющиеся проявлением особенностей социально-политических и экономических условий развития страны.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 нашей стороны, они не подлежат диверсификации и не понижаемы. К основным системным рискам относятся: риск изменения политической ситуации, риск неблагоприятных (с точки зрения ухудшения существенных условий бизнеса) изменений в законодательстве, макро- и микроэкономический риски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Во-вторых, существует рыночный (или финансовый) риск, который 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Валютный риск. 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Клиент может потерять часть дохода и понести прямые убытки.</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Процентный риск. Заключается в риске потерь, которые Клиент может понести в результате неблагоприятного изменения процентных ставок по валюте операции, влияющего на курсовую стоимость облигаций с фиксированным доходом, номинированных в валюте операции.</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Риск ликвидности. 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быстрого вывода средств с рынка или переводе средств из одного вида объектов инвестирования в другой.</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Ценовой риск. Может проявляться в неблагоприятном изменении цен на ценные бумаги, которое может привести к падению стоимости портфеля Клиента и, как следствие, снижению доходности или прямым убыткам.</w:t>
            </w:r>
          </w:p>
        </w:tc>
      </w:tr>
      <w:tr w:rsidR="002B666A" w:rsidRPr="00307D5D" w:rsidTr="002B666A">
        <w:tc>
          <w:tcPr>
            <w:tcW w:w="10666" w:type="dxa"/>
          </w:tcPr>
          <w:p w:rsidR="002B666A" w:rsidRPr="00307D5D" w:rsidRDefault="002B666A" w:rsidP="002B666A">
            <w:pPr>
              <w:widowControl w:val="0"/>
              <w:spacing w:after="200"/>
              <w:jc w:val="both"/>
              <w:rPr>
                <w:rFonts w:ascii="Arial" w:hAnsi="Arial" w:cs="Arial"/>
                <w:snapToGrid w:val="0"/>
                <w:lang w:val="en-US"/>
              </w:rPr>
            </w:pPr>
            <w:r w:rsidRPr="00307D5D">
              <w:rPr>
                <w:rFonts w:ascii="Arial" w:hAnsi="Arial" w:cs="Arial"/>
                <w:snapToGrid w:val="0"/>
                <w:lang w:val="ru-RU"/>
              </w:rPr>
              <w:t>Кредитный риск. Заключается в возможности невыполнения контрактных и иных обязательств, принятых на себя другими лицами в связи с совершенными операциями. К числу кредитных рисков относятся следующие риски:</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Риск банкротства эмитента ценных бумаг. 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 xml:space="preserve">Для того чтобы снизить рыночный риск, Клиент должен внимательно отнестись к выбору и диверсификации финансовых инструментов, а также оценить расходы, с которыми будут связаны владение и операции с </w:t>
            </w:r>
            <w:r w:rsidRPr="00307D5D">
              <w:rPr>
                <w:rFonts w:ascii="Arial" w:hAnsi="Arial" w:cs="Arial"/>
                <w:snapToGrid w:val="0"/>
                <w:lang w:val="ru-RU"/>
              </w:rPr>
              <w:lastRenderedPageBreak/>
              <w:t>финансовыми инструментами и убедиться, в том, что они приемлемы и не лишают Клиента ожидаемого дохода.</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lastRenderedPageBreak/>
              <w:t>Риск дефолта по облигациям и иным долговым ценным бумагам. Проявляется в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snapToGrid w:val="0"/>
                <w:lang w:val="ru-RU"/>
              </w:rPr>
              <w:t>Риск контрагента. Заключается в неисполнении обязательств третьими лицами, являющимися контрагентами по сделкам с ценными бумагами или договорам, являющимся производными финансовыми инструментами.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Поскольку денежные средства Клиента хранятся на банковском счете, Клиент также несет риск банкротства банка, в котором они хранятся.</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lang w:val="ru-RU"/>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snapToGrid w:val="0"/>
                <w:lang w:val="ru-RU"/>
              </w:rPr>
            </w:pPr>
            <w:r w:rsidRPr="00307D5D">
              <w:rPr>
                <w:rFonts w:ascii="Arial" w:hAnsi="Arial" w:cs="Arial"/>
                <w:lang w:val="ru-RU"/>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последствиям для Клиента.</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последствия для Клиента.</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Операционный риск заключается в возможности причинения убытков в результате нарушения внутренних процедур Банка, ошибок и недобросовестных действий его сотрудников, сбоев в работе технических средств Банка,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eastAsia="en-US"/>
              </w:rPr>
              <w:t xml:space="preserve">Инвестирование в производные финансовые инструменты сопряжено с существенными рисками. </w:t>
            </w:r>
            <w:r w:rsidRPr="00307D5D">
              <w:rPr>
                <w:rFonts w:ascii="Arial" w:hAnsi="Arial" w:cs="Arial"/>
                <w:lang w:val="ru-RU"/>
              </w:rPr>
              <w:t xml:space="preserve">При обычных обстоятельствах стоимость производного финансового инструмента зависит от стоимости базового актива, процентной ставки или индекса (или определяется ею). Опционы, фьючерсы, фьючерсные опционы и процентные свопы, свопы на совокупный доход являются примерами производных финансовых инструментов. Фьючерсы и опционы, базовым активом которых являются ценные бумаги, фондовые индексы или другие производные финансовые инструменты, которые могут быть урегулированы в денежной форме, признаются расчетными производными финансовыми инструментами. </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 xml:space="preserve">Производные финансовые инструменты связаны с рисками, отличными от прямых инвестиций в базовые ценные бумаги. Эти риски включают неполную корреляцию между стоимостью инструмента и базовых активов; риски дефолта третьих лиц в некоторых сделках; риски потерь от этих операций, что частично или полностью погасит полученные доходы по портфелю Клиента; риски </w:t>
            </w:r>
            <w:proofErr w:type="spellStart"/>
            <w:r w:rsidRPr="00307D5D">
              <w:rPr>
                <w:rFonts w:ascii="Arial" w:hAnsi="Arial" w:cs="Arial"/>
                <w:lang w:val="ru-RU"/>
              </w:rPr>
              <w:t>неликвидности</w:t>
            </w:r>
            <w:proofErr w:type="spellEnd"/>
            <w:r w:rsidRPr="00307D5D">
              <w:rPr>
                <w:rFonts w:ascii="Arial" w:hAnsi="Arial" w:cs="Arial"/>
                <w:lang w:val="ru-RU"/>
              </w:rPr>
              <w:t xml:space="preserve"> этих операций; и риск потерь от неэффективной реализации инвестиционной стратегии.</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 xml:space="preserve">Операции по расчетным производным финансовым инструментам могут также предполагать дополнительные обязательства. Клиент может полностью утратить обеспечение (гарантийное обеспечение, вариационную маржу и т.п.), переданное брокеру/контрагенту для открытия и поддержания позиции (если операции с обеспечением), либо может возникнуть обязательство осуществить дополнительные платежи в определенных обстоятельствах (если операции без обеспечения). Инструменты с дополнительным обязательством, торговля которыми осуществляется не на признанной бирже ценных бумаг и не в соответствии с правилами таковой, могут нести для Клиента еще более существенные риски. </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Операции с внебиржевыми производными финансовыми инструментами могут повлечь еще больший риск, чем торговля биржевыми производными финансовыми инструментами, поскольку отсутствует биржевой рынок, посредством которого закрывается позиция, оценивается стоимость производного финансового инструмента или подверженность риску. Цены заявок и предложения не подлежат установлению, и даже если они устанавливаются, это осуществляется дилерами таких инструментов и, следовательно, определение справедливой цены может быть затруднительным.</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 xml:space="preserve">При определенных торговых условиях может быть сложно или невозможно закрыть позицию. Это может иметь место, например, при быстром изменении цены, если цена поднимается или падает в течение одной торговой сессии до такого предела, что по правилам соответствующей биржи торговля приостанавливается или ограничивается. Размещение поручения, направленного на ограничение убытков (ордер стоп </w:t>
            </w:r>
            <w:proofErr w:type="spellStart"/>
            <w:r w:rsidRPr="00307D5D">
              <w:rPr>
                <w:rFonts w:ascii="Arial" w:hAnsi="Arial" w:cs="Arial"/>
                <w:lang w:val="ru-RU"/>
              </w:rPr>
              <w:t>лосс</w:t>
            </w:r>
            <w:proofErr w:type="spellEnd"/>
            <w:r w:rsidRPr="00307D5D">
              <w:rPr>
                <w:rFonts w:ascii="Arial" w:hAnsi="Arial" w:cs="Arial"/>
                <w:lang w:val="ru-RU"/>
              </w:rPr>
              <w:t xml:space="preserve">), не обязательно ограничит убытки Клиента до планируемых размеров, потому что рыночные условия могут сделать </w:t>
            </w:r>
            <w:r w:rsidRPr="00307D5D">
              <w:rPr>
                <w:rFonts w:ascii="Arial" w:hAnsi="Arial" w:cs="Arial"/>
                <w:lang w:val="ru-RU"/>
              </w:rPr>
              <w:lastRenderedPageBreak/>
              <w:t>невозможным исполнение такого распоряжения по оговоренной цене.</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lastRenderedPageBreak/>
              <w:t xml:space="preserve">Настоящим Клиент признает, понимает и принимает повышенный риск убытков от сделок с производными финансовыми инструментами, в том числе риск полного (100%) убытка от указанных сделок, риск того, что Клиент может понести потери в размере, превышающим его инвестиции и что Клиент будет нести ответственность за возникший дефицит по его инвестиционному портфелю. </w:t>
            </w:r>
          </w:p>
        </w:tc>
      </w:tr>
      <w:tr w:rsidR="002B666A" w:rsidRPr="00E26C43" w:rsidTr="002B666A">
        <w:tc>
          <w:tcPr>
            <w:tcW w:w="10666" w:type="dxa"/>
          </w:tcPr>
          <w:p w:rsidR="002B666A" w:rsidRPr="00307D5D" w:rsidRDefault="002B666A" w:rsidP="002B666A">
            <w:pPr>
              <w:widowControl w:val="0"/>
              <w:spacing w:after="200"/>
              <w:jc w:val="both"/>
              <w:rPr>
                <w:rFonts w:ascii="Arial" w:hAnsi="Arial" w:cs="Arial"/>
                <w:lang w:val="ru-RU"/>
              </w:rPr>
            </w:pPr>
            <w:r w:rsidRPr="00307D5D">
              <w:rPr>
                <w:rFonts w:ascii="Arial" w:hAnsi="Arial" w:cs="Arial"/>
                <w:lang w:val="ru-RU"/>
              </w:rPr>
              <w:t>Результаты инвестирования в прошлом не определяют доходы Клиента в будущем.</w:t>
            </w:r>
          </w:p>
        </w:tc>
      </w:tr>
      <w:tr w:rsidR="002B666A" w:rsidRPr="00E26C43" w:rsidTr="002B666A">
        <w:tc>
          <w:tcPr>
            <w:tcW w:w="10666" w:type="dxa"/>
          </w:tcPr>
          <w:p w:rsidR="002B666A" w:rsidRPr="00307D5D" w:rsidRDefault="002B666A" w:rsidP="002B666A">
            <w:pPr>
              <w:pStyle w:val="a7"/>
              <w:numPr>
                <w:ilvl w:val="0"/>
                <w:numId w:val="8"/>
              </w:numPr>
              <w:spacing w:after="200"/>
              <w:ind w:left="0" w:firstLine="0"/>
              <w:contextualSpacing w:val="0"/>
              <w:jc w:val="both"/>
              <w:rPr>
                <w:rFonts w:ascii="Arial" w:hAnsi="Arial" w:cs="Arial"/>
              </w:rPr>
            </w:pPr>
            <w:r w:rsidRPr="00307D5D">
              <w:rPr>
                <w:rFonts w:ascii="Arial" w:hAnsi="Arial" w:cs="Arial"/>
              </w:rPr>
              <w:t>Риски, связанные с приобретением иностранных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Целью настоящего раздела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Операциям с иностранными ценными бумагами присущи общие риски, связанные с операциями на рынке ценных бумаг со следующими особенностями.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Системные риски.</w:t>
            </w:r>
          </w:p>
          <w:p w:rsidR="002B666A" w:rsidRPr="00307D5D" w:rsidRDefault="002B666A" w:rsidP="002B666A">
            <w:pPr>
              <w:spacing w:after="200"/>
              <w:jc w:val="both"/>
              <w:rPr>
                <w:rFonts w:ascii="Arial" w:hAnsi="Arial" w:cs="Arial"/>
                <w:lang w:val="ru-RU"/>
              </w:rPr>
            </w:pPr>
            <w:r w:rsidRPr="00307D5D">
              <w:rPr>
                <w:rFonts w:ascii="Arial" w:hAnsi="Arial" w:cs="Arial"/>
                <w:lang w:val="ru-RU"/>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w:t>
            </w:r>
            <w:r w:rsidRPr="00307D5D">
              <w:rPr>
                <w:rFonts w:ascii="Arial" w:hAnsi="Arial" w:cs="Arial"/>
              </w:rPr>
              <w:t>MOODY</w:t>
            </w:r>
            <w:r w:rsidRPr="00307D5D">
              <w:rPr>
                <w:rFonts w:ascii="Arial" w:hAnsi="Arial" w:cs="Arial"/>
                <w:lang w:val="ru-RU"/>
              </w:rPr>
              <w:t>’</w:t>
            </w:r>
            <w:r w:rsidRPr="00307D5D">
              <w:rPr>
                <w:rFonts w:ascii="Arial" w:hAnsi="Arial" w:cs="Arial"/>
              </w:rPr>
              <w:t>S</w:t>
            </w:r>
            <w:r w:rsidRPr="00307D5D">
              <w:rPr>
                <w:rFonts w:ascii="Arial" w:hAnsi="Arial" w:cs="Arial"/>
                <w:lang w:val="ru-RU"/>
              </w:rPr>
              <w:t xml:space="preserve">, </w:t>
            </w:r>
            <w:r w:rsidRPr="00307D5D">
              <w:rPr>
                <w:rFonts w:ascii="Arial" w:hAnsi="Arial" w:cs="Arial"/>
              </w:rPr>
              <w:t>STANDARD</w:t>
            </w:r>
            <w:r w:rsidRPr="00307D5D">
              <w:rPr>
                <w:rFonts w:ascii="Arial" w:hAnsi="Arial" w:cs="Arial"/>
                <w:lang w:val="ru-RU"/>
              </w:rPr>
              <w:t xml:space="preserve"> &amp; </w:t>
            </w:r>
            <w:r w:rsidRPr="00307D5D">
              <w:rPr>
                <w:rFonts w:ascii="Arial" w:hAnsi="Arial" w:cs="Arial"/>
              </w:rPr>
              <w:t>POOR</w:t>
            </w:r>
            <w:r w:rsidRPr="00307D5D">
              <w:rPr>
                <w:rFonts w:ascii="Arial" w:hAnsi="Arial" w:cs="Arial"/>
                <w:lang w:val="ru-RU"/>
              </w:rPr>
              <w:t>'</w:t>
            </w:r>
            <w:r w:rsidRPr="00307D5D">
              <w:rPr>
                <w:rFonts w:ascii="Arial" w:hAnsi="Arial" w:cs="Arial"/>
              </w:rPr>
              <w:t>S</w:t>
            </w:r>
            <w:r w:rsidRPr="00307D5D">
              <w:rPr>
                <w:rFonts w:ascii="Arial" w:hAnsi="Arial" w:cs="Arial"/>
                <w:lang w:val="ru-RU"/>
              </w:rPr>
              <w:t xml:space="preserve">, </w:t>
            </w:r>
            <w:r w:rsidRPr="00307D5D">
              <w:rPr>
                <w:rFonts w:ascii="Arial" w:hAnsi="Arial" w:cs="Arial"/>
              </w:rPr>
              <w:t>FITCH</w:t>
            </w:r>
            <w:r w:rsidRPr="00307D5D">
              <w:rPr>
                <w:rFonts w:ascii="Arial" w:hAnsi="Arial" w:cs="Arial"/>
                <w:lang w:val="ru-RU"/>
              </w:rPr>
              <w:t xml:space="preserve"> </w:t>
            </w:r>
            <w:r w:rsidRPr="00307D5D">
              <w:rPr>
                <w:rFonts w:ascii="Arial" w:hAnsi="Arial" w:cs="Arial"/>
              </w:rPr>
              <w:t>IBCA</w:t>
            </w:r>
            <w:r w:rsidRPr="00307D5D">
              <w:rPr>
                <w:rFonts w:ascii="Arial" w:hAnsi="Arial" w:cs="Arial"/>
                <w:lang w:val="ru-RU"/>
              </w:rPr>
              <w:t>, однако следует иметь в виду, что рейтинги являются лишь ориентирами и могут в конкретный момент времени не соответствовать реальной ситуации.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В настоящее время законодательство разрешает в интересах российских инвесторов, в том числе не являющимися квалифицированными,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регуляторных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планам Клиента.</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Правовые риски.</w:t>
            </w:r>
          </w:p>
          <w:p w:rsidR="002B666A" w:rsidRPr="00307D5D" w:rsidRDefault="002B666A" w:rsidP="002B666A">
            <w:pPr>
              <w:spacing w:after="200"/>
              <w:jc w:val="both"/>
              <w:rPr>
                <w:rFonts w:ascii="Arial" w:hAnsi="Arial" w:cs="Arial"/>
                <w:lang w:val="ru-RU"/>
              </w:rPr>
            </w:pPr>
            <w:r w:rsidRPr="00307D5D">
              <w:rPr>
                <w:rFonts w:ascii="Arial" w:hAnsi="Arial" w:cs="Arial"/>
                <w:lang w:val="ru-RU"/>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Раскрытие информации.</w:t>
            </w:r>
          </w:p>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Клиенту рекомендуется оценить свою готовность анализировать информацию на английском языке, а также то, понимает ли Клиент отличия между принятыми в России правилами финансовой отчетности и Международными стандартами финансовой отчетности или </w:t>
            </w:r>
            <w:r w:rsidRPr="00307D5D">
              <w:rPr>
                <w:rFonts w:ascii="Arial" w:hAnsi="Arial" w:cs="Arial"/>
                <w:lang w:val="ru-RU"/>
              </w:rPr>
              <w:lastRenderedPageBreak/>
              <w:t>правилами финансовой отчетности, по которым публикуется информация эмитентом иностранных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lastRenderedPageBreak/>
              <w:t>Также российские организаторы торговли и (или) брокеры могут осуществлять перевод на русский язык некоторых документов (информации), раскрываемых иностранным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tc>
      </w:tr>
      <w:tr w:rsidR="002B666A" w:rsidRPr="00E26C43" w:rsidTr="002B666A">
        <w:tc>
          <w:tcPr>
            <w:tcW w:w="10666" w:type="dxa"/>
          </w:tcPr>
          <w:p w:rsidR="002B666A" w:rsidRPr="00307D5D" w:rsidRDefault="002B666A" w:rsidP="002B666A">
            <w:pPr>
              <w:pStyle w:val="a7"/>
              <w:numPr>
                <w:ilvl w:val="0"/>
                <w:numId w:val="8"/>
              </w:numPr>
              <w:spacing w:after="200"/>
              <w:ind w:left="0" w:firstLine="0"/>
              <w:contextualSpacing w:val="0"/>
              <w:jc w:val="both"/>
              <w:rPr>
                <w:rFonts w:ascii="Arial" w:hAnsi="Arial" w:cs="Arial"/>
              </w:rPr>
            </w:pPr>
            <w:r w:rsidRPr="00307D5D">
              <w:rPr>
                <w:rFonts w:ascii="Arial" w:hAnsi="Arial" w:cs="Arial"/>
              </w:rPr>
              <w:t>Риски, связанные с заключением договоров, являющихся производными финансовыми инструментами, базовым активом которых являются ценные бумаги иностранных эмитентов или индексы, рассчитанные по таким ценным бумагам.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Цель настоящего раздела - предоставить Клиенту общую информацию об основных рисках, связанных с заключением договоров, являющихся производными финансовыми инструментами, базовым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базовым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базового актива.</w:t>
            </w:r>
          </w:p>
        </w:tc>
      </w:tr>
      <w:tr w:rsidR="002B666A" w:rsidRPr="00E26C43" w:rsidTr="002B666A">
        <w:tc>
          <w:tcPr>
            <w:tcW w:w="10666" w:type="dxa"/>
          </w:tcPr>
          <w:p w:rsidR="002B666A" w:rsidRPr="00307D5D" w:rsidRDefault="002B666A" w:rsidP="002B666A">
            <w:pPr>
              <w:pStyle w:val="a7"/>
              <w:numPr>
                <w:ilvl w:val="1"/>
                <w:numId w:val="8"/>
              </w:numPr>
              <w:spacing w:after="200"/>
              <w:ind w:left="0" w:firstLine="0"/>
              <w:contextualSpacing w:val="0"/>
              <w:jc w:val="both"/>
              <w:rPr>
                <w:rFonts w:ascii="Arial" w:hAnsi="Arial" w:cs="Arial"/>
              </w:rPr>
            </w:pPr>
            <w:r w:rsidRPr="00307D5D">
              <w:rPr>
                <w:rFonts w:ascii="Arial" w:hAnsi="Arial" w:cs="Arial"/>
              </w:rPr>
              <w:t>Риски, связанные с производными финансовыми инструментами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Клиент подвергается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307D5D">
              <w:rPr>
                <w:rFonts w:ascii="Arial" w:hAnsi="Arial" w:cs="Arial"/>
                <w:lang w:val="ru-RU"/>
              </w:rPr>
              <w:t>колл</w:t>
            </w:r>
            <w:proofErr w:type="spellEnd"/>
            <w:r w:rsidRPr="00307D5D">
              <w:rPr>
                <w:rFonts w:ascii="Arial" w:hAnsi="Arial" w:cs="Arial"/>
                <w:lang w:val="ru-RU"/>
              </w:rPr>
              <w:t>»)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Настоящий раздел относится также и к производным финансовым инструментам, направленным на хеджирование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позиции клиента на срочном рынке соответствует объему позиции на спот рынке, которая хеджируется.</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Рыночный (ценовой) риск.</w:t>
            </w:r>
          </w:p>
          <w:p w:rsidR="002B666A" w:rsidRPr="00307D5D" w:rsidRDefault="002B666A" w:rsidP="002B666A">
            <w:pPr>
              <w:spacing w:after="200"/>
              <w:jc w:val="both"/>
              <w:rPr>
                <w:rFonts w:ascii="Arial" w:hAnsi="Arial" w:cs="Arial"/>
                <w:lang w:val="ru-RU"/>
              </w:rPr>
            </w:pPr>
            <w:r w:rsidRPr="00307D5D">
              <w:rPr>
                <w:rFonts w:ascii="Arial" w:hAnsi="Arial" w:cs="Arial"/>
                <w:lang w:val="ru-RU"/>
              </w:rPr>
              <w:t>Помимо общего рыночного (ценового) риска, который несет Клиент, совершающий операции на рынке ценных бумаг, в случае заключения фьючерсных, форвардных и своп договоров (контрактов), а также в случае продажи опционных контрактов, он будет нести риск неблагоприятного изменения цены как финансовых инструментов, являющихся базовым активом производных финансовых инструментов, так и риск в отношении активов, которые служат обеспечением.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В случае неблагоприятного изменения цены Клиент может в сравнительно короткий срок потерять средства, являющиеся обеспечением производных финансовых инструментов. </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Риск ликвидности. </w:t>
            </w:r>
          </w:p>
          <w:p w:rsidR="002B666A" w:rsidRPr="00307D5D" w:rsidRDefault="002B666A" w:rsidP="002B666A">
            <w:pPr>
              <w:spacing w:after="200"/>
              <w:jc w:val="both"/>
              <w:rPr>
                <w:rFonts w:ascii="Arial" w:hAnsi="Arial" w:cs="Arial"/>
                <w:lang w:val="ru-RU"/>
              </w:rPr>
            </w:pPr>
            <w:r w:rsidRPr="00307D5D">
              <w:rPr>
                <w:rFonts w:ascii="Arial" w:hAnsi="Arial" w:cs="Arial"/>
                <w:lang w:val="ru-RU"/>
              </w:rPr>
              <w:t>Если инвестиционная стратегия Клиента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рекомендуется обращать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tc>
      </w:tr>
      <w:tr w:rsidR="002B666A" w:rsidRPr="00307D5D"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w:t>
            </w:r>
            <w:r w:rsidRPr="00307D5D">
              <w:rPr>
                <w:rFonts w:ascii="Arial" w:hAnsi="Arial" w:cs="Arial"/>
                <w:lang w:val="ru-RU"/>
              </w:rPr>
              <w:lastRenderedPageBreak/>
              <w:t>сделок с иными производными финансовыми инструментами или с базовыми активами. Использование альтернативных вариантов может привести к меньшим убыткам.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lastRenderedPageBreak/>
              <w:t xml:space="preserve">При этом трудности с закрытием позиций и потери в цене могут привести к увеличению убытков по сравнению с обычными сделками. </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Поручения, направленные на ограничение убытков (ордера стоп </w:t>
            </w:r>
            <w:proofErr w:type="spellStart"/>
            <w:r w:rsidRPr="00307D5D">
              <w:rPr>
                <w:rFonts w:ascii="Arial" w:hAnsi="Arial" w:cs="Arial"/>
                <w:lang w:val="ru-RU"/>
              </w:rPr>
              <w:t>лосс</w:t>
            </w:r>
            <w:proofErr w:type="spellEnd"/>
            <w:r w:rsidRPr="00307D5D">
              <w:rPr>
                <w:rFonts w:ascii="Arial" w:hAnsi="Arial" w:cs="Arial"/>
                <w:lang w:val="ru-RU"/>
              </w:rPr>
              <w:t>),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Ограничение распоряжения средствами, являющимися обеспечением.</w:t>
            </w:r>
          </w:p>
          <w:p w:rsidR="002B666A" w:rsidRPr="00307D5D" w:rsidRDefault="002B666A" w:rsidP="002B666A">
            <w:pPr>
              <w:spacing w:after="200"/>
              <w:jc w:val="both"/>
              <w:rPr>
                <w:rFonts w:ascii="Arial" w:hAnsi="Arial" w:cs="Arial"/>
                <w:lang w:val="ru-RU"/>
              </w:rPr>
            </w:pPr>
            <w:r w:rsidRPr="00307D5D">
              <w:rPr>
                <w:rFonts w:ascii="Arial" w:hAnsi="Arial" w:cs="Arial"/>
                <w:lang w:val="ru-RU"/>
              </w:rPr>
              <w:t>Имущество (часть имущества), принадлежащее Клиенту,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интересах Клиента, будет ограничена.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Риск принудительного закрытия позиции</w:t>
            </w:r>
          </w:p>
          <w:p w:rsidR="002B666A" w:rsidRPr="00307D5D" w:rsidRDefault="002B666A" w:rsidP="002B666A">
            <w:pPr>
              <w:spacing w:after="200"/>
              <w:jc w:val="both"/>
              <w:rPr>
                <w:rFonts w:ascii="Arial" w:hAnsi="Arial" w:cs="Arial"/>
                <w:lang w:val="ru-RU"/>
              </w:rPr>
            </w:pPr>
            <w:r w:rsidRPr="00307D5D">
              <w:rPr>
                <w:rFonts w:ascii="Arial" w:hAnsi="Arial" w:cs="Arial"/>
                <w:lang w:val="ru-RU"/>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недостаточным для Клиента. Ваш брокер/Банк в этом случае вправе без дополнительного согласия Клиента «принудительно закрыть позицию», то есть заключить договор, являющийся производным финансовым инструментом, или приобрести ценные бумаги за счет денежных средств Клиента, или продать ценные бумаги Клиента. Это может быть сделано по существующим, в том числе невыгодным, ценам и привести к возникновению у Клиента убытков.</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Принудительное закрытие позиции направлено на управление рисками. Клиент можете понести значительные убытки несмотря на то, что после этого изменение цен на финансовые инструменты может принять благоприятное для Клиента направление и Клиент получил бы доход, если бы позиция Клиента не была закрыта.</w:t>
            </w:r>
          </w:p>
        </w:tc>
      </w:tr>
      <w:tr w:rsidR="002B666A" w:rsidRPr="00E26C43" w:rsidTr="002B666A">
        <w:tc>
          <w:tcPr>
            <w:tcW w:w="10666" w:type="dxa"/>
          </w:tcPr>
          <w:p w:rsidR="002B666A" w:rsidRPr="00307D5D" w:rsidRDefault="002B666A" w:rsidP="002B666A">
            <w:pPr>
              <w:pStyle w:val="a7"/>
              <w:numPr>
                <w:ilvl w:val="1"/>
                <w:numId w:val="8"/>
              </w:numPr>
              <w:spacing w:after="200"/>
              <w:ind w:left="0" w:firstLine="0"/>
              <w:contextualSpacing w:val="0"/>
              <w:jc w:val="both"/>
              <w:rPr>
                <w:rFonts w:ascii="Arial" w:hAnsi="Arial" w:cs="Arial"/>
              </w:rPr>
            </w:pPr>
            <w:r w:rsidRPr="00307D5D">
              <w:rPr>
                <w:rFonts w:ascii="Arial" w:hAnsi="Arial" w:cs="Arial"/>
              </w:rPr>
              <w:t>Риски, обусловленные иностранным происхождением базового актива.</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Системные риски.</w:t>
            </w:r>
          </w:p>
          <w:p w:rsidR="002B666A" w:rsidRPr="00307D5D" w:rsidRDefault="002B666A" w:rsidP="002B666A">
            <w:pPr>
              <w:spacing w:after="200"/>
              <w:jc w:val="both"/>
              <w:rPr>
                <w:rFonts w:ascii="Arial" w:hAnsi="Arial" w:cs="Arial"/>
                <w:lang w:val="ru-RU"/>
              </w:rPr>
            </w:pPr>
            <w:r w:rsidRPr="00307D5D">
              <w:rPr>
                <w:rFonts w:ascii="Arial" w:hAnsi="Arial" w:cs="Arial"/>
                <w:lang w:val="ru-RU"/>
              </w:rPr>
              <w:t>Применительно к базовому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w:t>
            </w:r>
            <w:r w:rsidRPr="00307D5D">
              <w:rPr>
                <w:rFonts w:ascii="Arial" w:hAnsi="Arial" w:cs="Arial"/>
              </w:rPr>
              <w:t>MOODY</w:t>
            </w:r>
            <w:r w:rsidRPr="00307D5D">
              <w:rPr>
                <w:rFonts w:ascii="Arial" w:hAnsi="Arial" w:cs="Arial"/>
                <w:lang w:val="ru-RU"/>
              </w:rPr>
              <w:t>’</w:t>
            </w:r>
            <w:r w:rsidRPr="00307D5D">
              <w:rPr>
                <w:rFonts w:ascii="Arial" w:hAnsi="Arial" w:cs="Arial"/>
              </w:rPr>
              <w:t>S</w:t>
            </w:r>
            <w:r w:rsidRPr="00307D5D">
              <w:rPr>
                <w:rFonts w:ascii="Arial" w:hAnsi="Arial" w:cs="Arial"/>
                <w:lang w:val="ru-RU"/>
              </w:rPr>
              <w:t xml:space="preserve">, </w:t>
            </w:r>
            <w:r w:rsidRPr="00307D5D">
              <w:rPr>
                <w:rFonts w:ascii="Arial" w:hAnsi="Arial" w:cs="Arial"/>
              </w:rPr>
              <w:t>STANDARD</w:t>
            </w:r>
            <w:r w:rsidRPr="00307D5D">
              <w:rPr>
                <w:rFonts w:ascii="Arial" w:hAnsi="Arial" w:cs="Arial"/>
                <w:lang w:val="ru-RU"/>
              </w:rPr>
              <w:t xml:space="preserve"> &amp; </w:t>
            </w:r>
            <w:r w:rsidRPr="00307D5D">
              <w:rPr>
                <w:rFonts w:ascii="Arial" w:hAnsi="Arial" w:cs="Arial"/>
              </w:rPr>
              <w:t>POOR</w:t>
            </w:r>
            <w:r w:rsidRPr="00307D5D">
              <w:rPr>
                <w:rFonts w:ascii="Arial" w:hAnsi="Arial" w:cs="Arial"/>
                <w:lang w:val="ru-RU"/>
              </w:rPr>
              <w:t>'</w:t>
            </w:r>
            <w:r w:rsidRPr="00307D5D">
              <w:rPr>
                <w:rFonts w:ascii="Arial" w:hAnsi="Arial" w:cs="Arial"/>
              </w:rPr>
              <w:t>S</w:t>
            </w:r>
            <w:r w:rsidRPr="00307D5D">
              <w:rPr>
                <w:rFonts w:ascii="Arial" w:hAnsi="Arial" w:cs="Arial"/>
                <w:lang w:val="ru-RU"/>
              </w:rPr>
              <w:t xml:space="preserve">, </w:t>
            </w:r>
            <w:r w:rsidRPr="00307D5D">
              <w:rPr>
                <w:rFonts w:ascii="Arial" w:hAnsi="Arial" w:cs="Arial"/>
              </w:rPr>
              <w:t>FITCH</w:t>
            </w:r>
            <w:r w:rsidRPr="00307D5D">
              <w:rPr>
                <w:rFonts w:ascii="Arial" w:hAnsi="Arial" w:cs="Arial"/>
                <w:lang w:val="ru-RU"/>
              </w:rPr>
              <w:t xml:space="preserve"> </w:t>
            </w:r>
            <w:r w:rsidRPr="00307D5D">
              <w:rPr>
                <w:rFonts w:ascii="Arial" w:hAnsi="Arial" w:cs="Arial"/>
              </w:rPr>
              <w:t>IBCA</w:t>
            </w:r>
            <w:r w:rsidRPr="00307D5D">
              <w:rPr>
                <w:rFonts w:ascii="Arial" w:hAnsi="Arial" w:cs="Arial"/>
                <w:lang w:val="ru-RU"/>
              </w:rPr>
              <w:t>, однако следует иметь в виду, что рейтинги являются лишь ориентирами и могут в конкретный момент времени не соответствовать реальной ситуации.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базовым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планам Клиента.</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Правовые риски.</w:t>
            </w:r>
          </w:p>
          <w:p w:rsidR="002B666A" w:rsidRPr="00307D5D" w:rsidRDefault="002B666A" w:rsidP="002B666A">
            <w:pPr>
              <w:spacing w:after="200"/>
              <w:jc w:val="both"/>
              <w:rPr>
                <w:rFonts w:ascii="Arial" w:hAnsi="Arial" w:cs="Arial"/>
                <w:lang w:val="ru-RU"/>
              </w:rPr>
            </w:pPr>
            <w:r w:rsidRPr="00307D5D">
              <w:rPr>
                <w:rFonts w:ascii="Arial" w:hAnsi="Arial" w:cs="Arial"/>
                <w:lang w:val="ru-RU"/>
              </w:rPr>
              <w:lastRenderedPageBreak/>
              <w:t>Необходимо отдавать себе отчет в том, что иностранные финансовые инструменты, являющиеся базовыми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lastRenderedPageBreak/>
              <w:t>Возможности судебной защиты прав по производным финансовым инструментам с иностранным базовым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Клиент в большинстве случаев не сможет полагаться на защиту своих прав и законных интересов российскими уполномоченными органами.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Раскрытие информации.</w:t>
            </w:r>
          </w:p>
          <w:p w:rsidR="002B666A" w:rsidRPr="00307D5D" w:rsidRDefault="002B666A" w:rsidP="002B666A">
            <w:pPr>
              <w:spacing w:after="200"/>
              <w:jc w:val="both"/>
              <w:rPr>
                <w:rFonts w:ascii="Arial" w:hAnsi="Arial" w:cs="Arial"/>
                <w:lang w:val="ru-RU"/>
              </w:rPr>
            </w:pPr>
            <w:r w:rsidRPr="00307D5D">
              <w:rPr>
                <w:rFonts w:ascii="Arial" w:hAnsi="Arial" w:cs="Arial"/>
                <w:lang w:val="ru-RU"/>
              </w:rPr>
              <w:t>Раскрытие информации в отношении иностранных ценных бумаг, являющихся базовым активом производных финансовых инструментов, осуществляется по правилам, действующим за рубежом, и на английском языке. Клиенту рекомендуется оценить свою готовность анализировать информацию на английском языке, а также то, понимает ли Клиент отличия между принятыми в России правилами финансовой отчетности 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tc>
      </w:tr>
      <w:tr w:rsidR="002B666A" w:rsidRPr="00E26C43" w:rsidTr="002B666A">
        <w:tc>
          <w:tcPr>
            <w:tcW w:w="10666" w:type="dxa"/>
          </w:tcPr>
          <w:p w:rsidR="002B666A" w:rsidRPr="00307D5D" w:rsidRDefault="002B666A" w:rsidP="002B666A">
            <w:pPr>
              <w:pStyle w:val="a7"/>
              <w:numPr>
                <w:ilvl w:val="0"/>
                <w:numId w:val="8"/>
              </w:numPr>
              <w:spacing w:after="200"/>
              <w:ind w:left="0" w:firstLine="0"/>
              <w:contextualSpacing w:val="0"/>
              <w:jc w:val="both"/>
              <w:rPr>
                <w:rFonts w:ascii="Arial" w:hAnsi="Arial" w:cs="Arial"/>
              </w:rPr>
            </w:pPr>
            <w:r w:rsidRPr="00307D5D">
              <w:rPr>
                <w:rFonts w:ascii="Arial" w:hAnsi="Arial" w:cs="Arial"/>
              </w:rPr>
              <w:t>Риски, связанные с совершением маржинальных и непокрытых сделок.</w:t>
            </w:r>
          </w:p>
          <w:p w:rsidR="002B666A" w:rsidRPr="00307D5D" w:rsidRDefault="002B666A" w:rsidP="002B666A">
            <w:pPr>
              <w:spacing w:after="200"/>
              <w:jc w:val="both"/>
              <w:rPr>
                <w:rFonts w:ascii="Arial" w:hAnsi="Arial" w:cs="Arial"/>
                <w:lang w:val="ru-RU"/>
              </w:rPr>
            </w:pPr>
            <w:r w:rsidRPr="00307D5D">
              <w:rPr>
                <w:rFonts w:ascii="Arial" w:hAnsi="Arial" w:cs="Arial"/>
                <w:lang w:val="ru-RU"/>
              </w:rPr>
              <w:t>Цель настоящего раздела - предоставить общую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Данные сделки подходят не всем инвесторам. Нормативные акты могут ограничивать риски по маржинальным и непокрытым сделкам, в том числе регулируя максимальное «плечо» — соотношение обязательств по заключенным в интересах Клиента сделкам и имущества, предназначенного для совершения сделок в соответствии с брокерским договором, заключенным между Клиентом и брокером.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Рыночный риск означает, что при совершении маржинальных и непокрытых сделок Клиент должен учитывать тот факт, что величина потерь в случае неблагоприятного движения рынка увеличивается при увеличении «плеча». Помимо общего рыночного риска, который несет Клиент, совершающий операции на рынке ценных бумаг, в случае совершения маржинальных и непокрытых сделок Клиент несет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Клиент будет обязан вернуть (передать) брокеру ценные бумаги независимо от изменения их стоимости.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При совершении маржинальных и непокрытых сделок Клиент должен учитывать, что возможность распоряжения имуществом, являющимися обеспечением по таким сделкам, ограничена.</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 xml:space="preserve">Имущество (часть имущества), принадлежащее Клиенту, в результате совершения маржинальной или непокрытой сделки является обеспечением исполнения обязательств Клиента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Клиент может быть ограничен в возможности распоряжаться своим имуществом в большей степени, чем до совершения маржинальной (непокрытой) сделки. 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Клиентом и брокером, что должно быть сделано в короткий срок, который может быть недостаточен для Клиента. Нормативные акты и условия брокерского договора позволяют брокеру без согласия Клиента «принудительно закрыть позицию», то есть приобрести ценные бумаги за счет денежных средств Клиента или продать ценные бумаги. Это может быть сделано по существующим, в том числе </w:t>
            </w:r>
            <w:r w:rsidRPr="00307D5D">
              <w:rPr>
                <w:rFonts w:ascii="Arial" w:hAnsi="Arial" w:cs="Arial"/>
                <w:lang w:val="ru-RU"/>
              </w:rPr>
              <w:lastRenderedPageBreak/>
              <w:t>невыгодным, ценам и привести к возникновению убытков. Принудительное закрытие позиции может быть вызвано резкими колебаниями рыночных цен, которые повлекли уменьшение стоимости имущества ниже минимальной маржи.</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lastRenderedPageBreak/>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Принудительное закрытие также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Клиент получил бы доход, если бы позиция не была закрыта. Размер указанных убытков при неблагоприятном стечении обстоятельств может превысить стоимость имущества Клиента, предназначенного для инвестирования на рынке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Риск ликвидности. 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tc>
      </w:tr>
      <w:tr w:rsidR="002B666A" w:rsidRPr="00E26C43" w:rsidTr="002B666A">
        <w:tc>
          <w:tcPr>
            <w:tcW w:w="10666" w:type="dxa"/>
          </w:tcPr>
          <w:p w:rsidR="002B666A" w:rsidRPr="00307D5D" w:rsidRDefault="002B666A" w:rsidP="002B666A">
            <w:pPr>
              <w:spacing w:after="200"/>
              <w:jc w:val="both"/>
              <w:rPr>
                <w:rFonts w:ascii="Arial" w:hAnsi="Arial" w:cs="Arial"/>
                <w:lang w:val="ru-RU"/>
              </w:rPr>
            </w:pPr>
            <w:r w:rsidRPr="00307D5D">
              <w:rPr>
                <w:rFonts w:ascii="Arial" w:hAnsi="Arial" w:cs="Arial"/>
                <w:lang w:val="ru-RU"/>
              </w:rPr>
              <w:t>Учитывая вышеизложенное, Клиенту рекомендуемся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базовым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Клиента с учетом инвестиционных целей и финансовых возможностей Клиента. Данное Уведомление о рисках не имеет своей целью заставить Клиента отказаться от осуществления таких операций, а призвано помочь Клиенту оценить их риски и ответственно подойти к решению вопроса о выборе инвестиционной стратегии и условий связанных с инвестированием договоров.</w:t>
            </w:r>
          </w:p>
        </w:tc>
      </w:tr>
      <w:tr w:rsidR="002B666A" w:rsidRPr="00E26C43" w:rsidTr="002B666A">
        <w:tc>
          <w:tcPr>
            <w:tcW w:w="10666" w:type="dxa"/>
          </w:tcPr>
          <w:p w:rsidR="002B666A" w:rsidRPr="00307D5D" w:rsidRDefault="002B666A" w:rsidP="002B666A">
            <w:pPr>
              <w:shd w:val="clear" w:color="auto" w:fill="FFFFFF"/>
              <w:spacing w:after="200"/>
              <w:jc w:val="both"/>
              <w:rPr>
                <w:rFonts w:ascii="Arial" w:hAnsi="Arial" w:cs="Arial"/>
                <w:i/>
                <w:lang w:val="ru-RU"/>
              </w:rPr>
            </w:pPr>
            <w:r w:rsidRPr="00307D5D">
              <w:rPr>
                <w:rFonts w:ascii="Arial" w:hAnsi="Arial" w:cs="Arial"/>
                <w:lang w:val="ru-RU"/>
              </w:rPr>
              <w:t>При необходимости Клиент может получить дополнительные разъяснения у Инвестиционного советника.</w:t>
            </w:r>
          </w:p>
        </w:tc>
      </w:tr>
      <w:tr w:rsidR="002B666A" w:rsidRPr="00307D5D" w:rsidTr="002B666A">
        <w:tc>
          <w:tcPr>
            <w:tcW w:w="10666" w:type="dxa"/>
          </w:tcPr>
          <w:p w:rsidR="002B666A" w:rsidRPr="00307D5D" w:rsidRDefault="002B666A" w:rsidP="002B666A">
            <w:pPr>
              <w:shd w:val="clear" w:color="auto" w:fill="FFFFFF"/>
              <w:spacing w:after="200"/>
              <w:jc w:val="both"/>
              <w:rPr>
                <w:rFonts w:ascii="Arial" w:hAnsi="Arial" w:cs="Arial"/>
                <w:lang w:val="ru-RU"/>
              </w:rPr>
            </w:pPr>
            <w:r w:rsidRPr="00307D5D">
              <w:rPr>
                <w:rFonts w:ascii="Arial" w:hAnsi="Arial" w:cs="Arial"/>
                <w:i/>
                <w:lang w:val="ru-RU"/>
              </w:rPr>
              <w:t xml:space="preserve">«Я прочитал и понял Уведомление о рисках, связанных с осуществлением операций на рынке ценных бумаг. Подтверждаю свое согласие принять на себя такие риски». </w:t>
            </w:r>
          </w:p>
        </w:tc>
      </w:tr>
      <w:tr w:rsidR="002B666A" w:rsidRPr="009870F4" w:rsidTr="002B666A">
        <w:tc>
          <w:tcPr>
            <w:tcW w:w="10666" w:type="dxa"/>
          </w:tcPr>
          <w:p w:rsidR="002B666A" w:rsidRPr="00307D5D" w:rsidRDefault="002B666A" w:rsidP="002B666A">
            <w:pPr>
              <w:tabs>
                <w:tab w:val="left" w:pos="5400"/>
              </w:tabs>
              <w:rPr>
                <w:rFonts w:ascii="Arial" w:eastAsia="Arial" w:hAnsi="Arial" w:cs="Arial"/>
                <w:b/>
                <w:lang w:val="en-US" w:bidi="en-GB"/>
              </w:rPr>
            </w:pPr>
            <w:r w:rsidRPr="00307D5D">
              <w:rPr>
                <w:rFonts w:ascii="Arial" w:eastAsia="Arial" w:hAnsi="Arial" w:cs="Arial"/>
                <w:b/>
                <w:lang w:val="ru-RU" w:bidi="en-GB"/>
              </w:rPr>
              <w:t>Клиент</w:t>
            </w:r>
            <w:r w:rsidRPr="00307D5D">
              <w:rPr>
                <w:rFonts w:ascii="Arial" w:eastAsia="Arial" w:hAnsi="Arial" w:cs="Arial"/>
                <w:b/>
                <w:lang w:val="en-US" w:bidi="en-GB"/>
              </w:rPr>
              <w:t>:</w:t>
            </w: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r w:rsidRPr="00307D5D">
              <w:rPr>
                <w:rFonts w:ascii="Arial" w:eastAsia="Arial" w:hAnsi="Arial" w:cs="Arial"/>
                <w:lang w:val="en-US" w:bidi="en-GB"/>
              </w:rPr>
              <w:t>____________________________/________________/</w:t>
            </w:r>
          </w:p>
          <w:p w:rsidR="002B666A" w:rsidRPr="009870F4" w:rsidRDefault="002B666A" w:rsidP="002B666A">
            <w:pPr>
              <w:jc w:val="both"/>
              <w:rPr>
                <w:rFonts w:ascii="Arial" w:eastAsia="Arial" w:hAnsi="Arial" w:cs="Arial"/>
                <w:lang w:val="ru-RU" w:bidi="en-GB"/>
              </w:rPr>
            </w:pPr>
            <w:r w:rsidRPr="009870F4">
              <w:rPr>
                <w:rFonts w:ascii="Arial" w:eastAsia="Arial" w:hAnsi="Arial" w:cs="Arial"/>
                <w:lang w:val="ru-RU" w:bidi="en-GB"/>
              </w:rPr>
              <w:t xml:space="preserve"> </w:t>
            </w:r>
          </w:p>
          <w:p w:rsidR="002B666A" w:rsidRPr="009870F4" w:rsidRDefault="002B666A" w:rsidP="002B666A">
            <w:pPr>
              <w:jc w:val="both"/>
              <w:rPr>
                <w:rFonts w:ascii="Arial" w:eastAsia="Arial" w:hAnsi="Arial" w:cs="Arial"/>
                <w:lang w:val="ru-RU" w:bidi="en-GB"/>
              </w:rPr>
            </w:pPr>
          </w:p>
          <w:p w:rsidR="002B666A" w:rsidRPr="009870F4" w:rsidRDefault="002B666A" w:rsidP="002B666A">
            <w:pPr>
              <w:jc w:val="both"/>
              <w:rPr>
                <w:rFonts w:ascii="Arial" w:hAnsi="Arial" w:cs="Arial"/>
                <w:i/>
                <w:lang w:val="ru-RU"/>
              </w:rPr>
            </w:pPr>
            <w:r w:rsidRPr="00307D5D">
              <w:rPr>
                <w:rFonts w:ascii="Arial" w:eastAsia="Arial" w:hAnsi="Arial" w:cs="Arial"/>
                <w:lang w:bidi="en-GB"/>
              </w:rPr>
              <w:fldChar w:fldCharType="begin">
                <w:ffData>
                  <w:name w:val="ТекстовоеПоле1"/>
                  <w:enabled/>
                  <w:calcOnExit w:val="0"/>
                  <w:textInput/>
                </w:ffData>
              </w:fldChar>
            </w:r>
            <w:r w:rsidRPr="009870F4">
              <w:rPr>
                <w:rFonts w:ascii="Arial" w:eastAsia="Arial" w:hAnsi="Arial" w:cs="Arial"/>
                <w:lang w:val="ru-RU" w:bidi="en-GB"/>
              </w:rPr>
              <w:instrText xml:space="preserve"> </w:instrText>
            </w:r>
            <w:r w:rsidRPr="00307D5D">
              <w:rPr>
                <w:rFonts w:ascii="Arial" w:eastAsia="Arial" w:hAnsi="Arial" w:cs="Arial"/>
                <w:lang w:bidi="en-GB"/>
              </w:rPr>
              <w:instrText>FORMTEXT</w:instrText>
            </w:r>
            <w:r w:rsidRPr="009870F4">
              <w:rPr>
                <w:rFonts w:ascii="Arial" w:eastAsia="Arial" w:hAnsi="Arial" w:cs="Arial"/>
                <w:lang w:val="ru-RU" w:bidi="en-GB"/>
              </w:rPr>
              <w:instrText xml:space="preserve"> </w:instrText>
            </w:r>
            <w:r w:rsidRPr="00307D5D">
              <w:rPr>
                <w:rFonts w:ascii="Arial" w:eastAsia="Arial" w:hAnsi="Arial" w:cs="Arial"/>
                <w:lang w:bidi="en-GB"/>
              </w:rPr>
            </w:r>
            <w:r w:rsidRPr="00307D5D">
              <w:rPr>
                <w:rFonts w:ascii="Arial" w:eastAsia="Arial" w:hAnsi="Arial" w:cs="Arial"/>
                <w:lang w:bidi="en-GB"/>
              </w:rPr>
              <w:fldChar w:fldCharType="separate"/>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fldChar w:fldCharType="end"/>
            </w:r>
            <w:r w:rsidRPr="009870F4">
              <w:rPr>
                <w:rFonts w:ascii="Arial" w:eastAsia="Arial" w:hAnsi="Arial" w:cs="Arial"/>
                <w:lang w:val="ru-RU" w:bidi="en-GB"/>
              </w:rPr>
              <w:t xml:space="preserve"> </w:t>
            </w:r>
            <w:r w:rsidRPr="00307D5D">
              <w:rPr>
                <w:rFonts w:ascii="Arial" w:eastAsia="Arial" w:hAnsi="Arial" w:cs="Arial"/>
                <w:lang w:bidi="en-GB"/>
              </w:rPr>
              <w:fldChar w:fldCharType="begin">
                <w:ffData>
                  <w:name w:val="ТекстовоеПоле1"/>
                  <w:enabled/>
                  <w:calcOnExit w:val="0"/>
                  <w:textInput/>
                </w:ffData>
              </w:fldChar>
            </w:r>
            <w:r w:rsidRPr="009870F4">
              <w:rPr>
                <w:rFonts w:ascii="Arial" w:eastAsia="Arial" w:hAnsi="Arial" w:cs="Arial"/>
                <w:lang w:val="ru-RU" w:bidi="en-GB"/>
              </w:rPr>
              <w:instrText xml:space="preserve"> </w:instrText>
            </w:r>
            <w:r w:rsidRPr="00307D5D">
              <w:rPr>
                <w:rFonts w:ascii="Arial" w:eastAsia="Arial" w:hAnsi="Arial" w:cs="Arial"/>
                <w:lang w:bidi="en-GB"/>
              </w:rPr>
              <w:instrText>FORMTEXT</w:instrText>
            </w:r>
            <w:r w:rsidRPr="009870F4">
              <w:rPr>
                <w:rFonts w:ascii="Arial" w:eastAsia="Arial" w:hAnsi="Arial" w:cs="Arial"/>
                <w:lang w:val="ru-RU" w:bidi="en-GB"/>
              </w:rPr>
              <w:instrText xml:space="preserve"> </w:instrText>
            </w:r>
            <w:r w:rsidRPr="00307D5D">
              <w:rPr>
                <w:rFonts w:ascii="Arial" w:eastAsia="Arial" w:hAnsi="Arial" w:cs="Arial"/>
                <w:lang w:bidi="en-GB"/>
              </w:rPr>
            </w:r>
            <w:r w:rsidRPr="00307D5D">
              <w:rPr>
                <w:rFonts w:ascii="Arial" w:eastAsia="Arial" w:hAnsi="Arial" w:cs="Arial"/>
                <w:lang w:bidi="en-GB"/>
              </w:rPr>
              <w:fldChar w:fldCharType="separate"/>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fldChar w:fldCharType="end"/>
            </w:r>
            <w:r w:rsidRPr="009870F4">
              <w:rPr>
                <w:rFonts w:ascii="Arial" w:eastAsia="Arial" w:hAnsi="Arial" w:cs="Arial"/>
                <w:lang w:val="ru-RU" w:bidi="en-GB"/>
              </w:rPr>
              <w:t xml:space="preserve"> 20 __</w:t>
            </w:r>
          </w:p>
        </w:tc>
      </w:tr>
    </w:tbl>
    <w:p w:rsidR="002B666A" w:rsidRPr="009870F4" w:rsidRDefault="002B666A" w:rsidP="002B666A">
      <w:pPr>
        <w:overflowPunct/>
        <w:autoSpaceDE/>
        <w:autoSpaceDN/>
        <w:adjustRightInd/>
        <w:spacing w:after="160" w:line="259" w:lineRule="auto"/>
        <w:textAlignment w:val="auto"/>
        <w:rPr>
          <w:rFonts w:ascii="Arial" w:hAnsi="Arial" w:cs="Arial"/>
          <w:sz w:val="8"/>
          <w:szCs w:val="8"/>
          <w:lang w:val="ru-RU"/>
        </w:rPr>
      </w:pPr>
      <w:r w:rsidRPr="009870F4">
        <w:rPr>
          <w:rFonts w:ascii="Arial" w:hAnsi="Arial" w:cs="Arial"/>
          <w:sz w:val="8"/>
          <w:szCs w:val="8"/>
          <w:lang w:val="ru-RU"/>
        </w:rPr>
        <w:br w:type="page"/>
      </w:r>
    </w:p>
    <w:tbl>
      <w:tblPr>
        <w:tblW w:w="10666" w:type="dxa"/>
        <w:tblInd w:w="-176" w:type="dxa"/>
        <w:tblLayout w:type="fixed"/>
        <w:tblLook w:val="01E0" w:firstRow="1" w:lastRow="1" w:firstColumn="1" w:lastColumn="1" w:noHBand="0" w:noVBand="0"/>
      </w:tblPr>
      <w:tblGrid>
        <w:gridCol w:w="10666"/>
      </w:tblGrid>
      <w:tr w:rsidR="002B666A" w:rsidRPr="00307D5D" w:rsidTr="002B666A">
        <w:tc>
          <w:tcPr>
            <w:tcW w:w="10666" w:type="dxa"/>
          </w:tcPr>
          <w:p w:rsidR="002B666A" w:rsidRPr="00307D5D" w:rsidRDefault="00181AF5" w:rsidP="002B666A">
            <w:pPr>
              <w:tabs>
                <w:tab w:val="left" w:pos="5400"/>
              </w:tabs>
              <w:jc w:val="right"/>
              <w:rPr>
                <w:rFonts w:ascii="Arial" w:hAnsi="Arial" w:cs="Arial"/>
                <w:iCs/>
                <w:lang w:val="ru-RU"/>
              </w:rPr>
            </w:pPr>
            <w:r>
              <w:rPr>
                <w:rFonts w:ascii="Arial" w:hAnsi="Arial" w:cs="Arial"/>
                <w:iCs/>
                <w:lang w:val="ru-RU"/>
              </w:rPr>
              <w:lastRenderedPageBreak/>
              <w:t>Приложение № 2</w:t>
            </w:r>
          </w:p>
          <w:p w:rsidR="002B666A" w:rsidRPr="00307D5D" w:rsidRDefault="002B666A" w:rsidP="002B666A">
            <w:pPr>
              <w:pStyle w:val="1"/>
              <w:jc w:val="right"/>
              <w:rPr>
                <w:b w:val="0"/>
                <w:sz w:val="20"/>
                <w:szCs w:val="20"/>
              </w:rPr>
            </w:pPr>
            <w:r w:rsidRPr="00307D5D">
              <w:rPr>
                <w:b w:val="0"/>
                <w:iCs/>
                <w:sz w:val="20"/>
                <w:szCs w:val="20"/>
              </w:rPr>
              <w:t xml:space="preserve">к </w:t>
            </w:r>
            <w:r w:rsidRPr="00307D5D">
              <w:rPr>
                <w:b w:val="0"/>
                <w:sz w:val="20"/>
                <w:szCs w:val="20"/>
              </w:rPr>
              <w:t xml:space="preserve">Договору № </w:t>
            </w:r>
            <w:r w:rsidRPr="00307D5D">
              <w:rPr>
                <w:sz w:val="20"/>
                <w:szCs w:val="20"/>
              </w:rPr>
              <w:fldChar w:fldCharType="begin">
                <w:ffData>
                  <w:name w:val="ТекстовоеПоле1"/>
                  <w:enabled/>
                  <w:calcOnExit w:val="0"/>
                  <w:textInput/>
                </w:ffData>
              </w:fldChar>
            </w:r>
            <w:r w:rsidRPr="00307D5D">
              <w:rPr>
                <w:sz w:val="20"/>
                <w:szCs w:val="20"/>
              </w:rPr>
              <w:instrText xml:space="preserve"> FORMTEXT </w:instrText>
            </w:r>
            <w:r w:rsidRPr="00307D5D">
              <w:rPr>
                <w:sz w:val="20"/>
                <w:szCs w:val="20"/>
              </w:rPr>
            </w:r>
            <w:r w:rsidRPr="00307D5D">
              <w:rPr>
                <w:sz w:val="20"/>
                <w:szCs w:val="20"/>
              </w:rPr>
              <w:fldChar w:fldCharType="separate"/>
            </w:r>
            <w:r w:rsidRPr="00307D5D">
              <w:rPr>
                <w:sz w:val="20"/>
                <w:szCs w:val="20"/>
              </w:rPr>
              <w:t> </w:t>
            </w:r>
            <w:r w:rsidRPr="00307D5D">
              <w:rPr>
                <w:sz w:val="20"/>
                <w:szCs w:val="20"/>
              </w:rPr>
              <w:t> </w:t>
            </w:r>
            <w:r w:rsidRPr="00307D5D">
              <w:rPr>
                <w:sz w:val="20"/>
                <w:szCs w:val="20"/>
              </w:rPr>
              <w:t> </w:t>
            </w:r>
            <w:r w:rsidRPr="00307D5D">
              <w:rPr>
                <w:sz w:val="20"/>
                <w:szCs w:val="20"/>
              </w:rPr>
              <w:t> </w:t>
            </w:r>
            <w:r w:rsidRPr="00307D5D">
              <w:rPr>
                <w:sz w:val="20"/>
                <w:szCs w:val="20"/>
              </w:rPr>
              <w:t> </w:t>
            </w:r>
            <w:r w:rsidRPr="00307D5D">
              <w:rPr>
                <w:sz w:val="20"/>
                <w:szCs w:val="20"/>
              </w:rPr>
              <w:fldChar w:fldCharType="end"/>
            </w:r>
          </w:p>
          <w:p w:rsidR="002B666A" w:rsidRPr="00307D5D" w:rsidRDefault="002B666A" w:rsidP="002B666A">
            <w:pPr>
              <w:tabs>
                <w:tab w:val="left" w:pos="5400"/>
              </w:tabs>
              <w:jc w:val="right"/>
              <w:rPr>
                <w:rFonts w:ascii="Arial" w:hAnsi="Arial" w:cs="Arial"/>
                <w:iCs/>
                <w:lang w:val="ru-RU"/>
              </w:rPr>
            </w:pPr>
            <w:r w:rsidRPr="00307D5D">
              <w:rPr>
                <w:rFonts w:ascii="Arial" w:hAnsi="Arial" w:cs="Arial"/>
                <w:iCs/>
                <w:lang w:val="ru-RU"/>
              </w:rPr>
              <w:t>от  «</w:t>
            </w:r>
            <w:r w:rsidRPr="00307D5D">
              <w:rPr>
                <w:rFonts w:ascii="Arial" w:hAnsi="Arial" w:cs="Arial"/>
                <w:iCs/>
                <w:lang w:val="ru-RU"/>
              </w:rPr>
              <w:fldChar w:fldCharType="begin">
                <w:ffData>
                  <w:name w:val="ТекстовоеПоле1"/>
                  <w:enabled/>
                  <w:calcOnExit w:val="0"/>
                  <w:textInput/>
                </w:ffData>
              </w:fldChar>
            </w:r>
            <w:r w:rsidRPr="00307D5D">
              <w:rPr>
                <w:rFonts w:ascii="Arial" w:hAnsi="Arial" w:cs="Arial"/>
                <w:iCs/>
                <w:lang w:val="ru-RU"/>
              </w:rPr>
              <w:instrText xml:space="preserve"> FORMTEXT </w:instrText>
            </w:r>
            <w:r w:rsidRPr="00307D5D">
              <w:rPr>
                <w:rFonts w:ascii="Arial" w:hAnsi="Arial" w:cs="Arial"/>
                <w:iCs/>
                <w:lang w:val="ru-RU"/>
              </w:rPr>
            </w:r>
            <w:r w:rsidRPr="00307D5D">
              <w:rPr>
                <w:rFonts w:ascii="Arial" w:hAnsi="Arial" w:cs="Arial"/>
                <w:iCs/>
                <w:lang w:val="ru-RU"/>
              </w:rPr>
              <w:fldChar w:fldCharType="separate"/>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fldChar w:fldCharType="end"/>
            </w:r>
            <w:r w:rsidRPr="00307D5D">
              <w:rPr>
                <w:rFonts w:ascii="Arial" w:hAnsi="Arial" w:cs="Arial"/>
                <w:iCs/>
                <w:lang w:val="ru-RU"/>
              </w:rPr>
              <w:t xml:space="preserve">» </w:t>
            </w:r>
            <w:r w:rsidRPr="00307D5D">
              <w:rPr>
                <w:rFonts w:ascii="Arial" w:hAnsi="Arial" w:cs="Arial"/>
                <w:iCs/>
                <w:lang w:val="ru-RU"/>
              </w:rPr>
              <w:fldChar w:fldCharType="begin">
                <w:ffData>
                  <w:name w:val="ТекстовоеПоле1"/>
                  <w:enabled/>
                  <w:calcOnExit w:val="0"/>
                  <w:textInput/>
                </w:ffData>
              </w:fldChar>
            </w:r>
            <w:r w:rsidRPr="00307D5D">
              <w:rPr>
                <w:rFonts w:ascii="Arial" w:hAnsi="Arial" w:cs="Arial"/>
                <w:iCs/>
                <w:lang w:val="ru-RU"/>
              </w:rPr>
              <w:instrText xml:space="preserve"> FORMTEXT </w:instrText>
            </w:r>
            <w:r w:rsidRPr="00307D5D">
              <w:rPr>
                <w:rFonts w:ascii="Arial" w:hAnsi="Arial" w:cs="Arial"/>
                <w:iCs/>
                <w:lang w:val="ru-RU"/>
              </w:rPr>
            </w:r>
            <w:r w:rsidRPr="00307D5D">
              <w:rPr>
                <w:rFonts w:ascii="Arial" w:hAnsi="Arial" w:cs="Arial"/>
                <w:iCs/>
                <w:lang w:val="ru-RU"/>
              </w:rPr>
              <w:fldChar w:fldCharType="separate"/>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t> </w:t>
            </w:r>
            <w:r w:rsidRPr="00307D5D">
              <w:rPr>
                <w:rFonts w:ascii="Arial" w:hAnsi="Arial" w:cs="Arial"/>
                <w:iCs/>
                <w:lang w:val="ru-RU"/>
              </w:rPr>
              <w:fldChar w:fldCharType="end"/>
            </w:r>
            <w:r w:rsidRPr="00307D5D">
              <w:rPr>
                <w:rFonts w:ascii="Arial" w:hAnsi="Arial" w:cs="Arial"/>
                <w:iCs/>
                <w:lang w:val="ru-RU"/>
              </w:rPr>
              <w:t xml:space="preserve"> 20 _года</w:t>
            </w:r>
          </w:p>
          <w:p w:rsidR="002B666A" w:rsidRPr="00307D5D" w:rsidRDefault="002B666A" w:rsidP="002B666A">
            <w:pPr>
              <w:jc w:val="right"/>
              <w:rPr>
                <w:rFonts w:ascii="Arial" w:hAnsi="Arial" w:cs="Arial"/>
                <w:b/>
                <w:lang w:val="ru-RU"/>
              </w:rPr>
            </w:pPr>
          </w:p>
        </w:tc>
      </w:tr>
      <w:tr w:rsidR="002B666A" w:rsidRPr="00E26C43" w:rsidTr="002B666A">
        <w:tc>
          <w:tcPr>
            <w:tcW w:w="10666" w:type="dxa"/>
          </w:tcPr>
          <w:p w:rsidR="002B666A" w:rsidRPr="00307D5D" w:rsidRDefault="002B666A" w:rsidP="002B666A">
            <w:pPr>
              <w:widowControl w:val="0"/>
              <w:shd w:val="clear" w:color="auto" w:fill="FFFFFF"/>
              <w:spacing w:line="0" w:lineRule="atLeast"/>
              <w:ind w:right="28"/>
              <w:jc w:val="center"/>
              <w:rPr>
                <w:rFonts w:ascii="Arial" w:hAnsi="Arial" w:cs="Arial"/>
                <w:b/>
                <w:bCs/>
                <w:lang w:val="ru-RU"/>
              </w:rPr>
            </w:pPr>
            <w:r w:rsidRPr="00307D5D">
              <w:rPr>
                <w:rFonts w:ascii="Arial" w:hAnsi="Arial" w:cs="Arial"/>
                <w:b/>
                <w:bCs/>
                <w:lang w:val="ru-RU"/>
              </w:rPr>
              <w:t>СОГЛАСИЕ</w:t>
            </w:r>
          </w:p>
          <w:p w:rsidR="002B666A" w:rsidRPr="00307D5D" w:rsidRDefault="002B666A" w:rsidP="002B666A">
            <w:pPr>
              <w:widowControl w:val="0"/>
              <w:shd w:val="clear" w:color="auto" w:fill="FFFFFF"/>
              <w:spacing w:line="0" w:lineRule="atLeast"/>
              <w:ind w:right="28"/>
              <w:jc w:val="center"/>
              <w:rPr>
                <w:rFonts w:ascii="Arial" w:hAnsi="Arial" w:cs="Arial"/>
                <w:b/>
                <w:bCs/>
                <w:lang w:val="ru-RU"/>
              </w:rPr>
            </w:pPr>
            <w:r w:rsidRPr="00307D5D">
              <w:rPr>
                <w:rFonts w:ascii="Arial" w:hAnsi="Arial" w:cs="Arial"/>
                <w:b/>
                <w:bCs/>
                <w:lang w:val="ru-RU"/>
              </w:rPr>
              <w:t>на обработку, использование и распространение персональных данных</w:t>
            </w:r>
          </w:p>
          <w:p w:rsidR="002B666A" w:rsidRPr="00307D5D" w:rsidRDefault="002B666A" w:rsidP="002B666A">
            <w:pPr>
              <w:widowControl w:val="0"/>
              <w:shd w:val="clear" w:color="auto" w:fill="FFFFFF"/>
              <w:spacing w:line="0" w:lineRule="atLeast"/>
              <w:ind w:right="28"/>
              <w:jc w:val="center"/>
              <w:rPr>
                <w:rFonts w:ascii="Arial" w:hAnsi="Arial" w:cs="Arial"/>
                <w:iCs/>
                <w:lang w:val="ru-RU"/>
              </w:rPr>
            </w:pP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Инвестиционный советник осуществляет обработку, использование и распространение персональных данных Клиента в целях заключения, исполнения и прекращения Договора об инвестиционном консультировании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Перечень персональных данных, передаваемых Инвестиционному советнику на обработку, использование и распространение:</w:t>
            </w:r>
          </w:p>
        </w:tc>
      </w:tr>
      <w:tr w:rsidR="002B666A" w:rsidRPr="00E26C43" w:rsidTr="002B666A">
        <w:tc>
          <w:tcPr>
            <w:tcW w:w="10666" w:type="dxa"/>
          </w:tcPr>
          <w:p w:rsidR="002B666A" w:rsidRPr="00307D5D" w:rsidRDefault="002B666A" w:rsidP="002B666A">
            <w:pPr>
              <w:pStyle w:val="Default"/>
              <w:numPr>
                <w:ilvl w:val="0"/>
                <w:numId w:val="3"/>
              </w:numPr>
              <w:ind w:left="777"/>
              <w:jc w:val="both"/>
              <w:rPr>
                <w:color w:val="auto"/>
                <w:sz w:val="20"/>
              </w:rPr>
            </w:pPr>
            <w:r w:rsidRPr="00307D5D">
              <w:rPr>
                <w:color w:val="auto"/>
                <w:sz w:val="20"/>
                <w:szCs w:val="20"/>
              </w:rPr>
              <w:t>Фамилия</w:t>
            </w:r>
            <w:r w:rsidRPr="00307D5D">
              <w:rPr>
                <w:color w:val="auto"/>
                <w:sz w:val="20"/>
              </w:rPr>
              <w:t>, имя, отчество;</w:t>
            </w:r>
          </w:p>
          <w:p w:rsidR="002B666A" w:rsidRPr="00307D5D" w:rsidRDefault="002B666A" w:rsidP="002B666A">
            <w:pPr>
              <w:pStyle w:val="Default"/>
              <w:numPr>
                <w:ilvl w:val="0"/>
                <w:numId w:val="3"/>
              </w:numPr>
              <w:ind w:left="777"/>
              <w:jc w:val="both"/>
              <w:rPr>
                <w:color w:val="auto"/>
                <w:sz w:val="20"/>
                <w:szCs w:val="20"/>
              </w:rPr>
            </w:pPr>
            <w:r w:rsidRPr="00307D5D">
              <w:rPr>
                <w:color w:val="auto"/>
                <w:sz w:val="20"/>
                <w:szCs w:val="20"/>
              </w:rPr>
              <w:t>Паспортные данные;</w:t>
            </w:r>
          </w:p>
          <w:p w:rsidR="002B666A" w:rsidRPr="00307D5D" w:rsidRDefault="002B666A" w:rsidP="002B666A">
            <w:pPr>
              <w:pStyle w:val="Default"/>
              <w:numPr>
                <w:ilvl w:val="0"/>
                <w:numId w:val="3"/>
              </w:numPr>
              <w:ind w:left="777"/>
              <w:jc w:val="both"/>
              <w:rPr>
                <w:color w:val="auto"/>
                <w:sz w:val="20"/>
                <w:szCs w:val="20"/>
              </w:rPr>
            </w:pPr>
            <w:r w:rsidRPr="00307D5D">
              <w:rPr>
                <w:color w:val="auto"/>
                <w:sz w:val="20"/>
                <w:szCs w:val="20"/>
              </w:rPr>
              <w:t>Адрес регистрации;</w:t>
            </w:r>
          </w:p>
          <w:p w:rsidR="002B666A" w:rsidRPr="00307D5D" w:rsidRDefault="002B666A" w:rsidP="002B666A">
            <w:pPr>
              <w:pStyle w:val="Default"/>
              <w:numPr>
                <w:ilvl w:val="0"/>
                <w:numId w:val="3"/>
              </w:numPr>
              <w:ind w:left="777"/>
              <w:jc w:val="both"/>
              <w:rPr>
                <w:color w:val="auto"/>
                <w:sz w:val="20"/>
                <w:szCs w:val="20"/>
              </w:rPr>
            </w:pPr>
            <w:r w:rsidRPr="00307D5D">
              <w:rPr>
                <w:color w:val="auto"/>
                <w:sz w:val="20"/>
                <w:szCs w:val="20"/>
              </w:rPr>
              <w:t>Адрес проживания;</w:t>
            </w:r>
          </w:p>
          <w:p w:rsidR="002B666A" w:rsidRPr="00307D5D" w:rsidRDefault="002B666A" w:rsidP="002B666A">
            <w:pPr>
              <w:pStyle w:val="Default"/>
              <w:numPr>
                <w:ilvl w:val="0"/>
                <w:numId w:val="3"/>
              </w:numPr>
              <w:ind w:left="777"/>
              <w:jc w:val="both"/>
              <w:rPr>
                <w:color w:val="auto"/>
                <w:sz w:val="20"/>
              </w:rPr>
            </w:pPr>
            <w:r w:rsidRPr="00307D5D">
              <w:rPr>
                <w:color w:val="auto"/>
                <w:sz w:val="20"/>
                <w:szCs w:val="20"/>
              </w:rPr>
              <w:t>Дата</w:t>
            </w:r>
            <w:r w:rsidRPr="00307D5D">
              <w:rPr>
                <w:color w:val="auto"/>
                <w:sz w:val="20"/>
              </w:rPr>
              <w:t xml:space="preserve"> рождения;</w:t>
            </w:r>
          </w:p>
          <w:p w:rsidR="002B666A" w:rsidRPr="00307D5D" w:rsidRDefault="002B666A" w:rsidP="002B666A">
            <w:pPr>
              <w:pStyle w:val="Default"/>
              <w:numPr>
                <w:ilvl w:val="0"/>
                <w:numId w:val="3"/>
              </w:numPr>
              <w:ind w:left="777"/>
              <w:jc w:val="both"/>
              <w:rPr>
                <w:color w:val="auto"/>
                <w:sz w:val="20"/>
                <w:szCs w:val="20"/>
              </w:rPr>
            </w:pPr>
            <w:r w:rsidRPr="00307D5D">
              <w:rPr>
                <w:color w:val="auto"/>
                <w:sz w:val="20"/>
                <w:szCs w:val="20"/>
              </w:rPr>
              <w:t>Почтовый адрес;</w:t>
            </w:r>
          </w:p>
          <w:p w:rsidR="002B666A" w:rsidRPr="00307D5D" w:rsidRDefault="002B666A" w:rsidP="002B666A">
            <w:pPr>
              <w:pStyle w:val="Default"/>
              <w:numPr>
                <w:ilvl w:val="0"/>
                <w:numId w:val="3"/>
              </w:numPr>
              <w:ind w:left="777"/>
              <w:jc w:val="both"/>
              <w:rPr>
                <w:color w:val="auto"/>
                <w:sz w:val="20"/>
                <w:szCs w:val="20"/>
              </w:rPr>
            </w:pPr>
            <w:r w:rsidRPr="00307D5D">
              <w:rPr>
                <w:color w:val="auto"/>
                <w:sz w:val="20"/>
                <w:szCs w:val="20"/>
              </w:rPr>
              <w:t>Гражданство;</w:t>
            </w:r>
          </w:p>
          <w:p w:rsidR="002B666A" w:rsidRPr="00307D5D" w:rsidRDefault="002B666A" w:rsidP="002B666A">
            <w:pPr>
              <w:pStyle w:val="Default"/>
              <w:numPr>
                <w:ilvl w:val="0"/>
                <w:numId w:val="3"/>
              </w:numPr>
              <w:ind w:left="777"/>
              <w:jc w:val="both"/>
              <w:rPr>
                <w:color w:val="auto"/>
                <w:sz w:val="20"/>
                <w:szCs w:val="20"/>
              </w:rPr>
            </w:pPr>
            <w:r w:rsidRPr="00307D5D">
              <w:rPr>
                <w:color w:val="auto"/>
                <w:sz w:val="20"/>
                <w:szCs w:val="20"/>
              </w:rPr>
              <w:t>Контактная информация (номер телефона, адрес электронной почты);</w:t>
            </w:r>
          </w:p>
          <w:p w:rsidR="002B666A" w:rsidRPr="00307D5D" w:rsidRDefault="002B666A" w:rsidP="002B666A">
            <w:pPr>
              <w:pStyle w:val="Default"/>
              <w:numPr>
                <w:ilvl w:val="0"/>
                <w:numId w:val="3"/>
              </w:numPr>
              <w:ind w:left="777"/>
              <w:jc w:val="both"/>
              <w:rPr>
                <w:color w:val="auto"/>
                <w:sz w:val="20"/>
              </w:rPr>
            </w:pPr>
            <w:r w:rsidRPr="00307D5D">
              <w:rPr>
                <w:color w:val="auto"/>
                <w:sz w:val="20"/>
              </w:rPr>
              <w:t>ИНН (при наличии);</w:t>
            </w:r>
          </w:p>
          <w:p w:rsidR="002B666A" w:rsidRPr="00307D5D" w:rsidRDefault="002B666A" w:rsidP="002B666A">
            <w:pPr>
              <w:pStyle w:val="Default"/>
              <w:numPr>
                <w:ilvl w:val="0"/>
                <w:numId w:val="3"/>
              </w:numPr>
              <w:ind w:left="777"/>
              <w:jc w:val="both"/>
              <w:rPr>
                <w:color w:val="auto"/>
                <w:sz w:val="20"/>
              </w:rPr>
            </w:pPr>
            <w:r w:rsidRPr="00307D5D">
              <w:rPr>
                <w:color w:val="auto"/>
                <w:sz w:val="20"/>
                <w:szCs w:val="20"/>
              </w:rPr>
              <w:t>Сведения, подтверждающие</w:t>
            </w:r>
            <w:r w:rsidRPr="00307D5D">
              <w:rPr>
                <w:color w:val="auto"/>
                <w:sz w:val="20"/>
              </w:rPr>
              <w:t xml:space="preserve"> право </w:t>
            </w:r>
            <w:r w:rsidRPr="00307D5D">
              <w:rPr>
                <w:color w:val="auto"/>
                <w:sz w:val="20"/>
                <w:szCs w:val="20"/>
              </w:rPr>
              <w:t xml:space="preserve">на пребывание </w:t>
            </w:r>
            <w:r w:rsidRPr="00307D5D">
              <w:rPr>
                <w:color w:val="auto"/>
                <w:sz w:val="20"/>
              </w:rPr>
              <w:t xml:space="preserve">иностранного гражданина </w:t>
            </w:r>
            <w:r w:rsidRPr="00307D5D">
              <w:rPr>
                <w:color w:val="auto"/>
                <w:sz w:val="20"/>
                <w:szCs w:val="20"/>
              </w:rPr>
              <w:t>на территории</w:t>
            </w:r>
            <w:r w:rsidRPr="00307D5D">
              <w:rPr>
                <w:color w:val="auto"/>
                <w:sz w:val="20"/>
              </w:rPr>
              <w:t xml:space="preserve"> РФ</w:t>
            </w:r>
            <w:r w:rsidRPr="00307D5D">
              <w:rPr>
                <w:color w:val="auto"/>
                <w:sz w:val="20"/>
                <w:szCs w:val="20"/>
              </w:rPr>
              <w:t xml:space="preserve"> (при необходимости);</w:t>
            </w:r>
          </w:p>
          <w:p w:rsidR="002B666A" w:rsidRPr="00307D5D" w:rsidRDefault="002B666A" w:rsidP="002B666A">
            <w:pPr>
              <w:pStyle w:val="Default"/>
              <w:numPr>
                <w:ilvl w:val="0"/>
                <w:numId w:val="3"/>
              </w:numPr>
              <w:ind w:left="777"/>
              <w:jc w:val="both"/>
              <w:rPr>
                <w:color w:val="auto"/>
                <w:sz w:val="20"/>
              </w:rPr>
            </w:pPr>
            <w:r w:rsidRPr="00307D5D">
              <w:rPr>
                <w:color w:val="auto"/>
                <w:sz w:val="20"/>
                <w:szCs w:val="20"/>
              </w:rPr>
              <w:t>Банковские</w:t>
            </w:r>
            <w:r w:rsidRPr="00307D5D">
              <w:rPr>
                <w:color w:val="auto"/>
                <w:sz w:val="20"/>
              </w:rPr>
              <w:t xml:space="preserve"> реквизиты</w:t>
            </w:r>
            <w:r w:rsidRPr="00307D5D">
              <w:rPr>
                <w:color w:val="auto"/>
                <w:sz w:val="20"/>
                <w:szCs w:val="20"/>
              </w:rPr>
              <w:t>;</w:t>
            </w:r>
          </w:p>
          <w:p w:rsidR="002B666A" w:rsidRPr="00307D5D" w:rsidRDefault="002B666A" w:rsidP="002B666A">
            <w:pPr>
              <w:numPr>
                <w:ilvl w:val="0"/>
                <w:numId w:val="2"/>
              </w:numPr>
              <w:overflowPunct/>
              <w:ind w:left="777" w:hanging="357"/>
              <w:jc w:val="both"/>
              <w:textAlignment w:val="auto"/>
              <w:rPr>
                <w:rFonts w:ascii="Arial" w:hAnsi="Arial" w:cs="Arial"/>
                <w:lang w:val="ru-RU"/>
              </w:rPr>
            </w:pPr>
            <w:r w:rsidRPr="00307D5D">
              <w:rPr>
                <w:rFonts w:ascii="Arial" w:hAnsi="Arial" w:cs="Arial"/>
                <w:lang w:val="ru-RU"/>
              </w:rPr>
              <w:t>Финансовые сведения о результатах инвестирования.</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Клиент дает согласие на обработку Инвестиционным советником своих персональных данных,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налоговые органы, органы государственного контроля и надзора, а также в случаях, установленных Договором и нормативными правовыми актами государственных органов и законодательством.</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bCs/>
                <w:sz w:val="20"/>
                <w:szCs w:val="20"/>
              </w:rPr>
              <w:t xml:space="preserve">Клиент дает </w:t>
            </w:r>
            <w:r w:rsidRPr="00307D5D">
              <w:rPr>
                <w:sz w:val="20"/>
                <w:szCs w:val="20"/>
              </w:rPr>
              <w:t xml:space="preserve">согласие на использование своих контактных данных Инвестиционным советником для поддержания связи с </w:t>
            </w:r>
            <w:r w:rsidRPr="00307D5D">
              <w:rPr>
                <w:color w:val="auto"/>
                <w:sz w:val="20"/>
              </w:rPr>
              <w:t>Клиентом</w:t>
            </w:r>
            <w:r w:rsidRPr="00307D5D">
              <w:rPr>
                <w:sz w:val="20"/>
                <w:szCs w:val="20"/>
              </w:rPr>
              <w:t>, осуществления телефонных звонков и отправки СМС-сообщений на указанный номер мобильного телефона, а также направление электронных сообщений на адрес электронной почты, указанные в Разделе 15 Договора.</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sz w:val="20"/>
                <w:szCs w:val="20"/>
              </w:rPr>
            </w:pPr>
            <w:r w:rsidRPr="00307D5D">
              <w:rPr>
                <w:sz w:val="20"/>
                <w:szCs w:val="20"/>
              </w:rPr>
              <w:t xml:space="preserve">Способом обработки является смешанная обработка </w:t>
            </w:r>
            <w:r w:rsidRPr="00307D5D">
              <w:rPr>
                <w:color w:val="auto"/>
                <w:sz w:val="20"/>
              </w:rPr>
              <w:t>персональных</w:t>
            </w:r>
            <w:r w:rsidRPr="00307D5D">
              <w:rPr>
                <w:sz w:val="20"/>
                <w:szCs w:val="20"/>
              </w:rPr>
              <w:t xml:space="preserve"> данных, в том числе с использованием средств автоматизации и без использования таковых, с передачей полученной информации по внутренней сети юридического лица строго определенными сотрудниками Инвестиционного советника.</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Клиент, в связи с предоставлением своих персональных данных Инвестиционному советнику вправе:</w:t>
            </w:r>
          </w:p>
        </w:tc>
      </w:tr>
      <w:tr w:rsidR="002B666A" w:rsidRPr="00307D5D" w:rsidTr="002B666A">
        <w:tc>
          <w:tcPr>
            <w:tcW w:w="10666" w:type="dxa"/>
          </w:tcPr>
          <w:p w:rsidR="002B666A" w:rsidRPr="00307D5D" w:rsidRDefault="002B666A" w:rsidP="002B666A">
            <w:pPr>
              <w:pStyle w:val="Default"/>
              <w:numPr>
                <w:ilvl w:val="1"/>
                <w:numId w:val="1"/>
              </w:numPr>
              <w:spacing w:after="120"/>
              <w:jc w:val="both"/>
              <w:rPr>
                <w:color w:val="auto"/>
                <w:sz w:val="20"/>
              </w:rPr>
            </w:pPr>
            <w:r w:rsidRPr="00307D5D">
              <w:rPr>
                <w:color w:val="auto"/>
                <w:sz w:val="20"/>
              </w:rPr>
              <w:t>получать сведения об Инвестиционном советнике, о месте его нахождения, о наличии у Инвестиционного советника персональных данных, относящихся к Клиенту, а также на ознакомление с такими персональными данными, за исключением случаев, указанных в Федеральном законе «О персональных данных», путем обращения либо направления запроса. Запрос должен содержать номер основного документа, удостоверяющего личность Клиента или его законного представителя, сведения о дате выдачи указанного документа и выдавшем его органе и собственноручную подпись Клиента или его законного представителя. Запрос может быть направлен в следующих формах:</w:t>
            </w:r>
          </w:p>
        </w:tc>
      </w:tr>
      <w:tr w:rsidR="002B666A" w:rsidRPr="00E26C43" w:rsidTr="002B666A">
        <w:tc>
          <w:tcPr>
            <w:tcW w:w="10666" w:type="dxa"/>
          </w:tcPr>
          <w:p w:rsidR="002B666A" w:rsidRPr="00307D5D" w:rsidRDefault="002B666A" w:rsidP="002B666A">
            <w:pPr>
              <w:numPr>
                <w:ilvl w:val="0"/>
                <w:numId w:val="2"/>
              </w:numPr>
              <w:overflowPunct/>
              <w:spacing w:after="120"/>
              <w:ind w:left="1202" w:hanging="357"/>
              <w:jc w:val="both"/>
              <w:textAlignment w:val="auto"/>
              <w:rPr>
                <w:rFonts w:ascii="Arial" w:hAnsi="Arial" w:cs="Arial"/>
                <w:lang w:val="ru-RU"/>
              </w:rPr>
            </w:pPr>
            <w:r w:rsidRPr="00307D5D">
              <w:rPr>
                <w:rFonts w:ascii="Arial" w:hAnsi="Arial" w:cs="Arial"/>
                <w:lang w:val="ru-RU"/>
              </w:rPr>
              <w:t>в письменном виде по адресу места нахождения Инвестиционного советника;</w:t>
            </w:r>
          </w:p>
          <w:p w:rsidR="002B666A" w:rsidRPr="00307D5D" w:rsidRDefault="002B666A" w:rsidP="002B666A">
            <w:pPr>
              <w:numPr>
                <w:ilvl w:val="0"/>
                <w:numId w:val="2"/>
              </w:numPr>
              <w:overflowPunct/>
              <w:spacing w:after="120"/>
              <w:ind w:left="1202" w:hanging="357"/>
              <w:jc w:val="both"/>
              <w:textAlignment w:val="auto"/>
              <w:rPr>
                <w:rFonts w:ascii="Arial" w:hAnsi="Arial" w:cs="Arial"/>
                <w:lang w:val="ru-RU"/>
              </w:rPr>
            </w:pPr>
            <w:r w:rsidRPr="00307D5D">
              <w:rPr>
                <w:rFonts w:ascii="Arial" w:hAnsi="Arial" w:cs="Arial"/>
                <w:lang w:val="ru-RU"/>
              </w:rPr>
              <w:t>в электронной форме, подписанный электронной подписью, с учетом требований законодательства Российской Федерации;</w:t>
            </w:r>
          </w:p>
        </w:tc>
      </w:tr>
      <w:tr w:rsidR="002B666A" w:rsidRPr="00E26C43" w:rsidTr="002B666A">
        <w:tc>
          <w:tcPr>
            <w:tcW w:w="10666" w:type="dxa"/>
          </w:tcPr>
          <w:p w:rsidR="002B666A" w:rsidRPr="00307D5D" w:rsidRDefault="002B666A" w:rsidP="002B666A">
            <w:pPr>
              <w:pStyle w:val="Default"/>
              <w:numPr>
                <w:ilvl w:val="1"/>
                <w:numId w:val="1"/>
              </w:numPr>
              <w:spacing w:after="120"/>
              <w:jc w:val="both"/>
              <w:rPr>
                <w:color w:val="auto"/>
                <w:sz w:val="20"/>
              </w:rPr>
            </w:pPr>
            <w:r w:rsidRPr="00307D5D">
              <w:rPr>
                <w:color w:val="auto"/>
                <w:sz w:val="20"/>
              </w:rPr>
              <w:t>требовать от Инвестиционного советника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tc>
      </w:tr>
      <w:tr w:rsidR="002B666A" w:rsidRPr="00E26C43" w:rsidTr="002B666A">
        <w:tc>
          <w:tcPr>
            <w:tcW w:w="10666" w:type="dxa"/>
          </w:tcPr>
          <w:p w:rsidR="002B666A" w:rsidRPr="00307D5D" w:rsidRDefault="002B666A" w:rsidP="002B666A">
            <w:pPr>
              <w:pStyle w:val="Default"/>
              <w:numPr>
                <w:ilvl w:val="1"/>
                <w:numId w:val="1"/>
              </w:numPr>
              <w:spacing w:after="120"/>
              <w:jc w:val="both"/>
              <w:rPr>
                <w:color w:val="auto"/>
                <w:sz w:val="20"/>
              </w:rPr>
            </w:pPr>
            <w:r w:rsidRPr="00307D5D">
              <w:rPr>
                <w:color w:val="auto"/>
                <w:sz w:val="20"/>
              </w:rPr>
              <w:lastRenderedPageBreak/>
              <w:t>отказаться от получения СМС-сообщений на указанный номер мобильного телефона, а также направление электронных сообщений на адрес электронной почты, указанные в Разделе 15 Договора, путем направления такого отказа в адрес Инвестиционного советника.</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 xml:space="preserve">Настоящим Клиент подтверждает свое согласие на включение в общедоступные источники Инвестиционного советника следующих персональных данных: </w:t>
            </w:r>
          </w:p>
        </w:tc>
      </w:tr>
      <w:tr w:rsidR="002B666A" w:rsidRPr="00307D5D" w:rsidTr="002B666A">
        <w:tc>
          <w:tcPr>
            <w:tcW w:w="10666" w:type="dxa"/>
          </w:tcPr>
          <w:p w:rsidR="002B666A" w:rsidRPr="00307D5D" w:rsidRDefault="002B666A" w:rsidP="002B666A">
            <w:pPr>
              <w:pStyle w:val="Default"/>
              <w:numPr>
                <w:ilvl w:val="0"/>
                <w:numId w:val="4"/>
              </w:numPr>
              <w:ind w:left="777"/>
              <w:jc w:val="both"/>
              <w:rPr>
                <w:color w:val="auto"/>
                <w:sz w:val="20"/>
                <w:szCs w:val="20"/>
              </w:rPr>
            </w:pPr>
            <w:r w:rsidRPr="00307D5D">
              <w:rPr>
                <w:color w:val="auto"/>
                <w:sz w:val="20"/>
              </w:rPr>
              <w:t xml:space="preserve">фамилию, имя и отчество, </w:t>
            </w:r>
          </w:p>
          <w:p w:rsidR="002B666A" w:rsidRPr="00307D5D" w:rsidRDefault="002B666A" w:rsidP="002B666A">
            <w:pPr>
              <w:pStyle w:val="Default"/>
              <w:numPr>
                <w:ilvl w:val="0"/>
                <w:numId w:val="4"/>
              </w:numPr>
              <w:ind w:left="777"/>
              <w:jc w:val="both"/>
              <w:rPr>
                <w:color w:val="auto"/>
                <w:sz w:val="20"/>
                <w:szCs w:val="20"/>
              </w:rPr>
            </w:pPr>
            <w:r w:rsidRPr="00307D5D">
              <w:rPr>
                <w:color w:val="auto"/>
                <w:sz w:val="20"/>
              </w:rPr>
              <w:t xml:space="preserve">место жительства (регистрации), </w:t>
            </w:r>
          </w:p>
          <w:p w:rsidR="002B666A" w:rsidRPr="00307D5D" w:rsidRDefault="002B666A" w:rsidP="002B666A">
            <w:pPr>
              <w:pStyle w:val="Default"/>
              <w:numPr>
                <w:ilvl w:val="0"/>
                <w:numId w:val="4"/>
              </w:numPr>
              <w:ind w:left="777"/>
              <w:jc w:val="both"/>
              <w:rPr>
                <w:color w:val="auto"/>
                <w:sz w:val="20"/>
                <w:szCs w:val="20"/>
              </w:rPr>
            </w:pPr>
            <w:r w:rsidRPr="00307D5D">
              <w:rPr>
                <w:color w:val="auto"/>
                <w:sz w:val="20"/>
                <w:szCs w:val="20"/>
              </w:rPr>
              <w:t xml:space="preserve">телефон, </w:t>
            </w:r>
          </w:p>
          <w:p w:rsidR="002B666A" w:rsidRPr="00307D5D" w:rsidRDefault="002B666A" w:rsidP="002B666A">
            <w:pPr>
              <w:pStyle w:val="Default"/>
              <w:numPr>
                <w:ilvl w:val="0"/>
                <w:numId w:val="4"/>
              </w:numPr>
              <w:ind w:left="777"/>
              <w:jc w:val="both"/>
              <w:rPr>
                <w:color w:val="auto"/>
                <w:sz w:val="20"/>
                <w:szCs w:val="20"/>
              </w:rPr>
            </w:pPr>
            <w:r w:rsidRPr="00307D5D">
              <w:rPr>
                <w:color w:val="auto"/>
                <w:sz w:val="20"/>
              </w:rPr>
              <w:t>адрес электронной почты</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Настоящим Инвестиционный советник подтверждает, что общедоступные источники</w:t>
            </w:r>
            <w:r w:rsidRPr="00307D5D">
              <w:rPr>
                <w:color w:val="auto"/>
                <w:sz w:val="20"/>
                <w:szCs w:val="20"/>
              </w:rPr>
              <w:t xml:space="preserve"> Инвестиционного советника</w:t>
            </w:r>
            <w:r w:rsidRPr="00307D5D">
              <w:rPr>
                <w:color w:val="auto"/>
                <w:sz w:val="20"/>
              </w:rPr>
              <w:t>, указанные в п. 7 настоящего Согласия, являются информацией для служебного пользования сотрудниками Инвестиционного советника и используются только в целях</w:t>
            </w:r>
            <w:r w:rsidRPr="00307D5D">
              <w:rPr>
                <w:color w:val="auto"/>
                <w:sz w:val="20"/>
                <w:szCs w:val="20"/>
              </w:rPr>
              <w:t>, перечисленных в п.1 настоящего Согласия</w:t>
            </w:r>
            <w:r w:rsidRPr="00307D5D">
              <w:rPr>
                <w:color w:val="auto"/>
                <w:sz w:val="20"/>
              </w:rPr>
              <w:t>.</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szCs w:val="20"/>
              </w:rPr>
              <w:t xml:space="preserve">Согласие вступает в силу со дня его подписания на период не менее чем срок хранения документов, </w:t>
            </w:r>
            <w:r w:rsidRPr="00307D5D">
              <w:rPr>
                <w:color w:val="auto"/>
                <w:sz w:val="20"/>
              </w:rPr>
              <w:t>установленных</w:t>
            </w:r>
            <w:r w:rsidRPr="00307D5D">
              <w:rPr>
                <w:color w:val="auto"/>
                <w:sz w:val="20"/>
                <w:szCs w:val="20"/>
              </w:rPr>
              <w:t xml:space="preserve"> законодательством.</w:t>
            </w:r>
            <w:r w:rsidRPr="00307D5D">
              <w:rPr>
                <w:color w:val="auto"/>
                <w:sz w:val="20"/>
              </w:rPr>
              <w:t xml:space="preserve"> Согласие может быть отозвано </w:t>
            </w:r>
            <w:r w:rsidRPr="00307D5D">
              <w:rPr>
                <w:color w:val="auto"/>
                <w:sz w:val="20"/>
                <w:szCs w:val="20"/>
              </w:rPr>
              <w:t xml:space="preserve">мною в любое время на основании письменного заявления </w:t>
            </w:r>
            <w:r w:rsidRPr="00307D5D">
              <w:rPr>
                <w:color w:val="auto"/>
                <w:sz w:val="20"/>
              </w:rPr>
              <w:t>Клиента</w:t>
            </w:r>
            <w:r w:rsidRPr="00307D5D">
              <w:rPr>
                <w:color w:val="auto"/>
                <w:sz w:val="20"/>
                <w:szCs w:val="20"/>
              </w:rPr>
              <w:t>.</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В случае отзыва Клиентом настоящего Согласия на обработку персональных данных, а также в случае прекращения/расторжения Договора, Инвестиционный советник обязан прекратить обработку персональных данных в срок, не превышающий 3 (Трех) рабочих дней с даты полного исполнения своих обязательств по Договору либо не позднее 3 (Трех) рабочих дней с даты прекращения обязанности Инвестиционного советника по хранению документов, содержащих, в том числе, персональные данные Клиента, предусмотренной Федеральным законом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и действующими Указаниями Банка России, либо в течение 3 (Трех) рабочих дней с даты прекращения обязанности по хранению документов, содержащих персональные данные, если такая обязанность прямо установлена законодательством.</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Клиент обязуется в случае изменения персональных данных, перечисленных в настоящем Согласии, предоставить согласие на обработку персональных данных по настоящей форме с измененными персональными данными одновременно с предоставлением документов, подтверждающих произошедшие изменения.</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Клиент принимает решение о предоставлении своих персональных данных и дает согласие на их обработку своей волей и в своем интересе. Отказ от предоставления своих персональных данных влечет невозможность заключения и исполнения Договора, а также досрочного прекращения Договора в случае его заключения до даты подписания настоящего Согласия.</w:t>
            </w:r>
          </w:p>
        </w:tc>
      </w:tr>
      <w:tr w:rsidR="002B666A" w:rsidRPr="00E26C43" w:rsidTr="002B666A">
        <w:tc>
          <w:tcPr>
            <w:tcW w:w="10666" w:type="dxa"/>
          </w:tcPr>
          <w:p w:rsidR="002B666A" w:rsidRPr="00307D5D" w:rsidRDefault="002B666A" w:rsidP="002B666A">
            <w:pPr>
              <w:pStyle w:val="Default"/>
              <w:numPr>
                <w:ilvl w:val="0"/>
                <w:numId w:val="1"/>
              </w:numPr>
              <w:spacing w:after="120"/>
              <w:ind w:left="380" w:hanging="380"/>
              <w:jc w:val="both"/>
              <w:rPr>
                <w:color w:val="auto"/>
                <w:sz w:val="20"/>
              </w:rPr>
            </w:pPr>
            <w:r w:rsidRPr="00307D5D">
              <w:rPr>
                <w:color w:val="auto"/>
                <w:sz w:val="20"/>
              </w:rPr>
              <w:t xml:space="preserve">Клиент подтверждает, что настоящее Согласие имеет силу с даты подписания </w:t>
            </w:r>
            <w:r w:rsidRPr="00307D5D">
              <w:rPr>
                <w:color w:val="auto"/>
                <w:sz w:val="20"/>
                <w:szCs w:val="20"/>
              </w:rPr>
              <w:t>настоящего Договора</w:t>
            </w:r>
            <w:r w:rsidRPr="00307D5D">
              <w:rPr>
                <w:color w:val="auto"/>
                <w:sz w:val="20"/>
              </w:rPr>
              <w:t>.</w:t>
            </w:r>
          </w:p>
        </w:tc>
      </w:tr>
      <w:tr w:rsidR="002B666A" w:rsidRPr="0008731B" w:rsidTr="002B666A">
        <w:tc>
          <w:tcPr>
            <w:tcW w:w="10666" w:type="dxa"/>
          </w:tcPr>
          <w:p w:rsidR="002B666A" w:rsidRPr="00307D5D" w:rsidRDefault="002B666A" w:rsidP="002B666A">
            <w:pPr>
              <w:tabs>
                <w:tab w:val="left" w:pos="5400"/>
              </w:tabs>
              <w:rPr>
                <w:rFonts w:ascii="Arial" w:eastAsia="Arial" w:hAnsi="Arial" w:cs="Arial"/>
                <w:b/>
                <w:lang w:val="ru-RU" w:bidi="en-GB"/>
              </w:rPr>
            </w:pPr>
          </w:p>
          <w:p w:rsidR="002B666A" w:rsidRPr="00307D5D" w:rsidRDefault="002B666A" w:rsidP="002B666A">
            <w:pPr>
              <w:tabs>
                <w:tab w:val="left" w:pos="5400"/>
              </w:tabs>
              <w:rPr>
                <w:rFonts w:ascii="Arial" w:eastAsia="Arial" w:hAnsi="Arial" w:cs="Arial"/>
                <w:b/>
                <w:lang w:val="en-US" w:bidi="en-GB"/>
              </w:rPr>
            </w:pPr>
            <w:r w:rsidRPr="00307D5D">
              <w:rPr>
                <w:rFonts w:ascii="Arial" w:eastAsia="Arial" w:hAnsi="Arial" w:cs="Arial"/>
                <w:b/>
                <w:lang w:val="ru-RU" w:bidi="en-GB"/>
              </w:rPr>
              <w:t>Клиент</w:t>
            </w:r>
            <w:r w:rsidRPr="00307D5D">
              <w:rPr>
                <w:rFonts w:ascii="Arial" w:eastAsia="Arial" w:hAnsi="Arial" w:cs="Arial"/>
                <w:b/>
                <w:lang w:val="en-US" w:bidi="en-GB"/>
              </w:rPr>
              <w:t>:</w:t>
            </w: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p>
          <w:p w:rsidR="002B666A" w:rsidRPr="00307D5D" w:rsidRDefault="002B666A" w:rsidP="002B666A">
            <w:pPr>
              <w:tabs>
                <w:tab w:val="left" w:pos="5400"/>
              </w:tabs>
              <w:rPr>
                <w:rFonts w:ascii="Arial" w:eastAsia="Arial" w:hAnsi="Arial" w:cs="Arial"/>
                <w:lang w:val="en-US" w:bidi="en-GB"/>
              </w:rPr>
            </w:pPr>
            <w:r w:rsidRPr="00307D5D">
              <w:rPr>
                <w:rFonts w:ascii="Arial" w:eastAsia="Arial" w:hAnsi="Arial" w:cs="Arial"/>
                <w:lang w:val="en-US" w:bidi="en-GB"/>
              </w:rPr>
              <w:t>____________________________/________________/</w:t>
            </w:r>
          </w:p>
          <w:p w:rsidR="002B666A" w:rsidRPr="00307D5D" w:rsidRDefault="002B666A" w:rsidP="002B666A">
            <w:pPr>
              <w:jc w:val="both"/>
              <w:rPr>
                <w:rFonts w:ascii="Arial" w:eastAsia="Arial" w:hAnsi="Arial" w:cs="Arial"/>
                <w:lang w:val="en-US" w:bidi="en-GB"/>
              </w:rPr>
            </w:pPr>
          </w:p>
          <w:p w:rsidR="002B666A" w:rsidRPr="00307D5D" w:rsidRDefault="002B666A" w:rsidP="002B666A">
            <w:pPr>
              <w:jc w:val="both"/>
              <w:rPr>
                <w:rFonts w:ascii="Arial" w:eastAsia="Arial" w:hAnsi="Arial" w:cs="Arial"/>
                <w:lang w:val="en-US" w:bidi="en-GB"/>
              </w:rPr>
            </w:pPr>
          </w:p>
          <w:p w:rsidR="002B666A" w:rsidRPr="0008731B" w:rsidRDefault="002B666A" w:rsidP="002B666A">
            <w:pPr>
              <w:jc w:val="both"/>
            </w:pPr>
            <w:r w:rsidRPr="00307D5D">
              <w:rPr>
                <w:rFonts w:ascii="Arial" w:eastAsia="Arial" w:hAnsi="Arial" w:cs="Arial"/>
                <w:lang w:bidi="en-GB"/>
              </w:rPr>
              <w:fldChar w:fldCharType="begin">
                <w:ffData>
                  <w:name w:val="ТекстовоеПоле1"/>
                  <w:enabled/>
                  <w:calcOnExit w:val="0"/>
                  <w:textInput/>
                </w:ffData>
              </w:fldChar>
            </w:r>
            <w:r w:rsidRPr="00307D5D">
              <w:rPr>
                <w:rFonts w:ascii="Arial" w:eastAsia="Arial" w:hAnsi="Arial" w:cs="Arial"/>
                <w:lang w:bidi="en-GB"/>
              </w:rPr>
              <w:instrText xml:space="preserve"> FORMTEXT </w:instrText>
            </w:r>
            <w:r w:rsidRPr="00307D5D">
              <w:rPr>
                <w:rFonts w:ascii="Arial" w:eastAsia="Arial" w:hAnsi="Arial" w:cs="Arial"/>
                <w:lang w:bidi="en-GB"/>
              </w:rPr>
            </w:r>
            <w:r w:rsidRPr="00307D5D">
              <w:rPr>
                <w:rFonts w:ascii="Arial" w:eastAsia="Arial" w:hAnsi="Arial" w:cs="Arial"/>
                <w:lang w:bidi="en-GB"/>
              </w:rPr>
              <w:fldChar w:fldCharType="separate"/>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fldChar w:fldCharType="end"/>
            </w:r>
            <w:r w:rsidRPr="00307D5D">
              <w:rPr>
                <w:rFonts w:ascii="Arial" w:eastAsia="Arial" w:hAnsi="Arial" w:cs="Arial"/>
                <w:lang w:bidi="en-GB"/>
              </w:rPr>
              <w:t xml:space="preserve"> </w:t>
            </w:r>
            <w:r w:rsidRPr="00307D5D">
              <w:rPr>
                <w:rFonts w:ascii="Arial" w:eastAsia="Arial" w:hAnsi="Arial" w:cs="Arial"/>
                <w:lang w:bidi="en-GB"/>
              </w:rPr>
              <w:fldChar w:fldCharType="begin">
                <w:ffData>
                  <w:name w:val="ТекстовоеПоле1"/>
                  <w:enabled/>
                  <w:calcOnExit w:val="0"/>
                  <w:textInput/>
                </w:ffData>
              </w:fldChar>
            </w:r>
            <w:r w:rsidRPr="00307D5D">
              <w:rPr>
                <w:rFonts w:ascii="Arial" w:eastAsia="Arial" w:hAnsi="Arial" w:cs="Arial"/>
                <w:lang w:bidi="en-GB"/>
              </w:rPr>
              <w:instrText xml:space="preserve"> FORMTEXT </w:instrText>
            </w:r>
            <w:r w:rsidRPr="00307D5D">
              <w:rPr>
                <w:rFonts w:ascii="Arial" w:eastAsia="Arial" w:hAnsi="Arial" w:cs="Arial"/>
                <w:lang w:bidi="en-GB"/>
              </w:rPr>
            </w:r>
            <w:r w:rsidRPr="00307D5D">
              <w:rPr>
                <w:rFonts w:ascii="Arial" w:eastAsia="Arial" w:hAnsi="Arial" w:cs="Arial"/>
                <w:lang w:bidi="en-GB"/>
              </w:rPr>
              <w:fldChar w:fldCharType="separate"/>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t> </w:t>
            </w:r>
            <w:r w:rsidRPr="00307D5D">
              <w:rPr>
                <w:rFonts w:ascii="Arial" w:eastAsia="Arial" w:hAnsi="Arial" w:cs="Arial"/>
                <w:lang w:bidi="en-GB"/>
              </w:rPr>
              <w:fldChar w:fldCharType="end"/>
            </w:r>
            <w:r w:rsidRPr="00307D5D">
              <w:rPr>
                <w:rFonts w:ascii="Arial" w:eastAsia="Arial" w:hAnsi="Arial" w:cs="Arial"/>
                <w:lang w:bidi="en-GB"/>
              </w:rPr>
              <w:t xml:space="preserve"> 20 __</w:t>
            </w:r>
          </w:p>
        </w:tc>
      </w:tr>
    </w:tbl>
    <w:p w:rsidR="002B666A" w:rsidRPr="00E86EED" w:rsidRDefault="002B666A" w:rsidP="002B666A">
      <w:pPr>
        <w:rPr>
          <w:rFonts w:ascii="Arial" w:hAnsi="Arial" w:cs="Arial"/>
          <w:lang w:val="en-US"/>
        </w:rPr>
      </w:pPr>
    </w:p>
    <w:p w:rsidR="002B666A" w:rsidRDefault="002B666A" w:rsidP="002B666A"/>
    <w:p w:rsidR="00707FAF" w:rsidRDefault="00707FAF"/>
    <w:sectPr w:rsidR="00707FAF" w:rsidSect="002B666A">
      <w:headerReference w:type="default" r:id="rId7"/>
      <w:footerReference w:type="even" r:id="rId8"/>
      <w:footerReference w:type="default" r:id="rId9"/>
      <w:pgSz w:w="11900" w:h="16820"/>
      <w:pgMar w:top="720" w:right="720" w:bottom="720" w:left="720" w:header="720" w:footer="661"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7C" w:rsidRDefault="0049027C">
      <w:r>
        <w:separator/>
      </w:r>
    </w:p>
  </w:endnote>
  <w:endnote w:type="continuationSeparator" w:id="0">
    <w:p w:rsidR="0049027C" w:rsidRDefault="0049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CC"/>
    <w:family w:val="swiss"/>
    <w:pitch w:val="variable"/>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C5" w:rsidRDefault="000A1DC5" w:rsidP="002B666A">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1DC5" w:rsidRDefault="000A1DC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C5" w:rsidRDefault="000A1DC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7C" w:rsidRDefault="0049027C">
      <w:r>
        <w:separator/>
      </w:r>
    </w:p>
  </w:footnote>
  <w:footnote w:type="continuationSeparator" w:id="0">
    <w:p w:rsidR="0049027C" w:rsidRDefault="0049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C5" w:rsidRDefault="000A1DC5" w:rsidP="002B666A">
    <w:pPr>
      <w:pStyle w:val="a5"/>
      <w:rPr>
        <w:rStyle w:val="a8"/>
      </w:rPr>
    </w:pPr>
    <w:r>
      <w:rPr>
        <w:noProof/>
        <w:lang w:val="ru-RU"/>
      </w:rPr>
      <w:drawing>
        <wp:anchor distT="0" distB="0" distL="114300" distR="114300" simplePos="0" relativeHeight="251659264" behindDoc="1" locked="0" layoutInCell="1" allowOverlap="1" wp14:anchorId="599C5215" wp14:editId="5D05C485">
          <wp:simplePos x="0" y="0"/>
          <wp:positionH relativeFrom="column">
            <wp:posOffset>-29845</wp:posOffset>
          </wp:positionH>
          <wp:positionV relativeFrom="paragraph">
            <wp:posOffset>-183515</wp:posOffset>
          </wp:positionV>
          <wp:extent cx="1763395" cy="443230"/>
          <wp:effectExtent l="0" t="0" r="8255" b="0"/>
          <wp:wrapNone/>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DC5" w:rsidRPr="00012D88" w:rsidRDefault="000A1DC5" w:rsidP="002B666A">
    <w:pPr>
      <w:pStyle w:val="a5"/>
      <w:rPr>
        <w:rStyle w:val="a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592"/>
    <w:multiLevelType w:val="multilevel"/>
    <w:tmpl w:val="6658AEF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3F05"/>
    <w:multiLevelType w:val="hybridMultilevel"/>
    <w:tmpl w:val="D18A1AF0"/>
    <w:lvl w:ilvl="0" w:tplc="04190001">
      <w:start w:val="1"/>
      <w:numFmt w:val="bullet"/>
      <w:lvlText w:val=""/>
      <w:lvlJc w:val="left"/>
      <w:pPr>
        <w:ind w:left="1209" w:hanging="720"/>
      </w:pPr>
      <w:rPr>
        <w:rFonts w:ascii="Symbol" w:hAnsi="Symbol"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 w15:restartNumberingAfterBreak="0">
    <w:nsid w:val="0B08532B"/>
    <w:multiLevelType w:val="multilevel"/>
    <w:tmpl w:val="CFA6C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664103"/>
    <w:multiLevelType w:val="multilevel"/>
    <w:tmpl w:val="6658AEF4"/>
    <w:lvl w:ilvl="0">
      <w:start w:val="1"/>
      <w:numFmt w:val="decimal"/>
      <w:lvlText w:val="%1."/>
      <w:lvlJc w:val="left"/>
      <w:pPr>
        <w:ind w:left="360" w:hanging="360"/>
      </w:pPr>
      <w:rPr>
        <w:rFonts w:ascii="Arial" w:hAnsi="Arial" w:cs="Arial" w:hint="default"/>
        <w:b/>
      </w:rPr>
    </w:lvl>
    <w:lvl w:ilvl="1">
      <w:start w:val="1"/>
      <w:numFmt w:val="decimal"/>
      <w:lvlText w:val="%1.%2."/>
      <w:lvlJc w:val="left"/>
      <w:pPr>
        <w:ind w:left="496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226B01"/>
    <w:multiLevelType w:val="multilevel"/>
    <w:tmpl w:val="9AAC39F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24C89"/>
    <w:multiLevelType w:val="multilevel"/>
    <w:tmpl w:val="6658AEF4"/>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2304A6"/>
    <w:multiLevelType w:val="multilevel"/>
    <w:tmpl w:val="05C6C302"/>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C4626C5"/>
    <w:multiLevelType w:val="hybridMultilevel"/>
    <w:tmpl w:val="FB941E80"/>
    <w:lvl w:ilvl="0" w:tplc="7668EE2A">
      <w:start w:val="1"/>
      <w:numFmt w:val="russianLower"/>
      <w:lvlText w:val="(%1)"/>
      <w:lvlJc w:val="left"/>
      <w:pPr>
        <w:ind w:left="1230" w:hanging="360"/>
      </w:pPr>
      <w:rPr>
        <w:rFonts w:cs="Times New Roman"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9" w15:restartNumberingAfterBreak="0">
    <w:nsid w:val="2C823E97"/>
    <w:multiLevelType w:val="hybridMultilevel"/>
    <w:tmpl w:val="2022F9C8"/>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0" w15:restartNumberingAfterBreak="0">
    <w:nsid w:val="32D13E17"/>
    <w:multiLevelType w:val="hybridMultilevel"/>
    <w:tmpl w:val="9E6C082E"/>
    <w:lvl w:ilvl="0" w:tplc="60DC42DE">
      <w:start w:val="1"/>
      <w:numFmt w:val="lowerRoman"/>
      <w:lvlText w:val="(%1)"/>
      <w:lvlJc w:val="left"/>
      <w:pPr>
        <w:ind w:left="1209" w:hanging="72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1"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2336EE1"/>
    <w:multiLevelType w:val="multilevel"/>
    <w:tmpl w:val="6658AEF4"/>
    <w:lvl w:ilvl="0">
      <w:start w:val="1"/>
      <w:numFmt w:val="decimal"/>
      <w:lvlText w:val="%1."/>
      <w:lvlJc w:val="left"/>
      <w:pPr>
        <w:ind w:left="360" w:hanging="360"/>
      </w:pPr>
      <w:rPr>
        <w:rFonts w:ascii="Arial" w:hAnsi="Arial" w:cs="Arial" w:hint="default"/>
        <w:b/>
      </w:rPr>
    </w:lvl>
    <w:lvl w:ilvl="1">
      <w:start w:val="1"/>
      <w:numFmt w:val="decimal"/>
      <w:lvlText w:val="%1.%2."/>
      <w:lvlJc w:val="left"/>
      <w:pPr>
        <w:ind w:left="3551"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20419B"/>
    <w:multiLevelType w:val="hybridMultilevel"/>
    <w:tmpl w:val="1A8856D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44C744B5"/>
    <w:multiLevelType w:val="hybridMultilevel"/>
    <w:tmpl w:val="23A4B870"/>
    <w:lvl w:ilvl="0" w:tplc="04190001">
      <w:start w:val="1"/>
      <w:numFmt w:val="bullet"/>
      <w:lvlText w:val=""/>
      <w:lvlJc w:val="left"/>
      <w:pPr>
        <w:ind w:left="1214" w:hanging="360"/>
      </w:pPr>
      <w:rPr>
        <w:rFonts w:ascii="Symbol" w:hAnsi="Symbol" w:hint="default"/>
      </w:rPr>
    </w:lvl>
    <w:lvl w:ilvl="1" w:tplc="04190003">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15" w15:restartNumberingAfterBreak="0">
    <w:nsid w:val="578670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6"/>
  </w:num>
  <w:num w:numId="4">
    <w:abstractNumId w:val="11"/>
  </w:num>
  <w:num w:numId="5">
    <w:abstractNumId w:val="3"/>
  </w:num>
  <w:num w:numId="6">
    <w:abstractNumId w:val="13"/>
  </w:num>
  <w:num w:numId="7">
    <w:abstractNumId w:val="8"/>
  </w:num>
  <w:num w:numId="8">
    <w:abstractNumId w:val="15"/>
  </w:num>
  <w:num w:numId="9">
    <w:abstractNumId w:val="0"/>
  </w:num>
  <w:num w:numId="10">
    <w:abstractNumId w:val="12"/>
  </w:num>
  <w:num w:numId="11">
    <w:abstractNumId w:val="5"/>
  </w:num>
  <w:num w:numId="12">
    <w:abstractNumId w:val="9"/>
  </w:num>
  <w:num w:numId="13">
    <w:abstractNumId w:val="14"/>
  </w:num>
  <w:num w:numId="14">
    <w:abstractNumId w:val="4"/>
  </w:num>
  <w:num w:numId="15">
    <w:abstractNumId w:val="10"/>
  </w:num>
  <w:num w:numId="16">
    <w:abstractNumId w:val="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6A"/>
    <w:rsid w:val="000603C0"/>
    <w:rsid w:val="000848FC"/>
    <w:rsid w:val="000A1DC5"/>
    <w:rsid w:val="00175175"/>
    <w:rsid w:val="00181AF5"/>
    <w:rsid w:val="00194F49"/>
    <w:rsid w:val="002B666A"/>
    <w:rsid w:val="00307D5D"/>
    <w:rsid w:val="003130AD"/>
    <w:rsid w:val="0031474E"/>
    <w:rsid w:val="00371CEF"/>
    <w:rsid w:val="0049027C"/>
    <w:rsid w:val="004A0CA0"/>
    <w:rsid w:val="004C5675"/>
    <w:rsid w:val="004D4CA0"/>
    <w:rsid w:val="0054667F"/>
    <w:rsid w:val="00583168"/>
    <w:rsid w:val="005A0C64"/>
    <w:rsid w:val="0063011C"/>
    <w:rsid w:val="00665B16"/>
    <w:rsid w:val="006E5331"/>
    <w:rsid w:val="00707FAF"/>
    <w:rsid w:val="007D7D2B"/>
    <w:rsid w:val="007E2F88"/>
    <w:rsid w:val="007E62FC"/>
    <w:rsid w:val="00845C36"/>
    <w:rsid w:val="00846542"/>
    <w:rsid w:val="008C3B84"/>
    <w:rsid w:val="009628B7"/>
    <w:rsid w:val="0096474D"/>
    <w:rsid w:val="009870F4"/>
    <w:rsid w:val="009A2811"/>
    <w:rsid w:val="00A616A6"/>
    <w:rsid w:val="00A746F1"/>
    <w:rsid w:val="00AC0A62"/>
    <w:rsid w:val="00B12339"/>
    <w:rsid w:val="00B53BE2"/>
    <w:rsid w:val="00B616E0"/>
    <w:rsid w:val="00BC267D"/>
    <w:rsid w:val="00BF3347"/>
    <w:rsid w:val="00C25FFE"/>
    <w:rsid w:val="00CC4F82"/>
    <w:rsid w:val="00CC76D7"/>
    <w:rsid w:val="00D100E7"/>
    <w:rsid w:val="00E26C43"/>
    <w:rsid w:val="00F05484"/>
    <w:rsid w:val="00F17EA2"/>
    <w:rsid w:val="00FB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B295"/>
  <w15:chartTrackingRefBased/>
  <w15:docId w15:val="{FE4F8AC0-B919-4A22-85C9-BE38AFA2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9"/>
    <w:qFormat/>
    <w:rsid w:val="002B666A"/>
    <w:pPr>
      <w:keepNext/>
      <w:overflowPunct/>
      <w:autoSpaceDE/>
      <w:autoSpaceDN/>
      <w:adjustRightInd/>
      <w:jc w:val="center"/>
      <w:textAlignment w:val="auto"/>
      <w:outlineLvl w:val="0"/>
    </w:pPr>
    <w:rPr>
      <w:rFonts w:ascii="Arial" w:hAnsi="Arial" w:cs="Arial"/>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666A"/>
    <w:rPr>
      <w:rFonts w:ascii="Arial" w:eastAsia="Times New Roman" w:hAnsi="Arial" w:cs="Arial"/>
      <w:b/>
      <w:bCs/>
      <w:sz w:val="24"/>
      <w:szCs w:val="24"/>
      <w:lang w:eastAsia="ru-RU"/>
    </w:rPr>
  </w:style>
  <w:style w:type="paragraph" w:styleId="a3">
    <w:name w:val="Body Text"/>
    <w:basedOn w:val="a"/>
    <w:link w:val="a4"/>
    <w:uiPriority w:val="99"/>
    <w:rsid w:val="002B666A"/>
    <w:pPr>
      <w:spacing w:after="120"/>
    </w:pPr>
  </w:style>
  <w:style w:type="character" w:customStyle="1" w:styleId="a4">
    <w:name w:val="Основной текст Знак"/>
    <w:basedOn w:val="a0"/>
    <w:link w:val="a3"/>
    <w:uiPriority w:val="99"/>
    <w:rsid w:val="002B666A"/>
    <w:rPr>
      <w:rFonts w:ascii="Times New Roman" w:eastAsia="Times New Roman" w:hAnsi="Times New Roman" w:cs="Times New Roman"/>
      <w:sz w:val="20"/>
      <w:szCs w:val="20"/>
      <w:lang w:val="en-GB" w:eastAsia="ru-RU"/>
    </w:rPr>
  </w:style>
  <w:style w:type="paragraph" w:styleId="a5">
    <w:name w:val="footer"/>
    <w:basedOn w:val="a"/>
    <w:link w:val="a6"/>
    <w:rsid w:val="002B666A"/>
    <w:pPr>
      <w:tabs>
        <w:tab w:val="center" w:pos="4153"/>
        <w:tab w:val="right" w:pos="8306"/>
      </w:tabs>
    </w:pPr>
  </w:style>
  <w:style w:type="character" w:customStyle="1" w:styleId="a6">
    <w:name w:val="Нижний колонтитул Знак"/>
    <w:basedOn w:val="a0"/>
    <w:link w:val="a5"/>
    <w:rsid w:val="002B666A"/>
    <w:rPr>
      <w:rFonts w:ascii="Times New Roman" w:eastAsia="Times New Roman" w:hAnsi="Times New Roman" w:cs="Times New Roman"/>
      <w:sz w:val="20"/>
      <w:szCs w:val="20"/>
      <w:lang w:val="en-GB" w:eastAsia="ru-RU"/>
    </w:rPr>
  </w:style>
  <w:style w:type="paragraph" w:styleId="a7">
    <w:name w:val="List Paragraph"/>
    <w:basedOn w:val="a"/>
    <w:uiPriority w:val="34"/>
    <w:qFormat/>
    <w:rsid w:val="002B666A"/>
    <w:pPr>
      <w:widowControl w:val="0"/>
      <w:overflowPunct/>
      <w:ind w:left="720"/>
      <w:contextualSpacing/>
      <w:textAlignment w:val="auto"/>
    </w:pPr>
    <w:rPr>
      <w:lang w:val="ru-RU"/>
    </w:rPr>
  </w:style>
  <w:style w:type="character" w:styleId="a8">
    <w:name w:val="page number"/>
    <w:basedOn w:val="a0"/>
    <w:rsid w:val="002B666A"/>
  </w:style>
  <w:style w:type="paragraph" w:customStyle="1" w:styleId="Default">
    <w:name w:val="Default"/>
    <w:rsid w:val="002B666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9">
    <w:name w:val="Текст выноски Знак"/>
    <w:basedOn w:val="a0"/>
    <w:link w:val="aa"/>
    <w:uiPriority w:val="99"/>
    <w:semiHidden/>
    <w:rsid w:val="002B666A"/>
    <w:rPr>
      <w:rFonts w:ascii="Segoe UI" w:eastAsia="Times New Roman" w:hAnsi="Segoe UI" w:cs="Segoe UI"/>
      <w:sz w:val="18"/>
      <w:szCs w:val="18"/>
      <w:lang w:val="en-GB" w:eastAsia="ru-RU"/>
    </w:rPr>
  </w:style>
  <w:style w:type="paragraph" w:styleId="aa">
    <w:name w:val="Balloon Text"/>
    <w:basedOn w:val="a"/>
    <w:link w:val="a9"/>
    <w:uiPriority w:val="99"/>
    <w:semiHidden/>
    <w:unhideWhenUsed/>
    <w:rsid w:val="002B666A"/>
    <w:rPr>
      <w:rFonts w:ascii="Segoe UI" w:hAnsi="Segoe UI" w:cs="Segoe UI"/>
      <w:sz w:val="18"/>
      <w:szCs w:val="18"/>
    </w:rPr>
  </w:style>
  <w:style w:type="paragraph" w:styleId="ab">
    <w:name w:val="Revision"/>
    <w:hidden/>
    <w:uiPriority w:val="99"/>
    <w:semiHidden/>
    <w:rsid w:val="00B616E0"/>
    <w:pPr>
      <w:spacing w:after="0" w:line="240" w:lineRule="auto"/>
    </w:pPr>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61222">
      <w:bodyDiv w:val="1"/>
      <w:marLeft w:val="0"/>
      <w:marRight w:val="0"/>
      <w:marTop w:val="0"/>
      <w:marBottom w:val="0"/>
      <w:divBdr>
        <w:top w:val="none" w:sz="0" w:space="0" w:color="auto"/>
        <w:left w:val="none" w:sz="0" w:space="0" w:color="auto"/>
        <w:bottom w:val="none" w:sz="0" w:space="0" w:color="auto"/>
        <w:right w:val="none" w:sz="0" w:space="0" w:color="auto"/>
      </w:divBdr>
    </w:div>
    <w:div w:id="15917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9122</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Анастасия Владимировна</dc:creator>
  <cp:keywords/>
  <dc:description/>
  <cp:lastModifiedBy>Антонова Анастасия Владимировна</cp:lastModifiedBy>
  <cp:revision>4</cp:revision>
  <dcterms:created xsi:type="dcterms:W3CDTF">2022-11-14T14:58:00Z</dcterms:created>
  <dcterms:modified xsi:type="dcterms:W3CDTF">2022-11-15T07:31:00Z</dcterms:modified>
</cp:coreProperties>
</file>