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3E26CF" w:rsidRPr="003E26CF">
        <w:rPr>
          <w:rFonts w:cstheme="minorHAnsi"/>
          <w:b/>
        </w:rPr>
        <w:t>Альфа-Капитал Коммерческие метры</w:t>
      </w:r>
      <w:r w:rsidRPr="003E26C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Pr>
          <w:rFonts w:cstheme="minorHAnsi"/>
        </w:rPr>
        <w:t>3</w:t>
      </w:r>
      <w:r w:rsidR="00FF355C">
        <w:rPr>
          <w:rFonts w:cstheme="minorHAnsi"/>
        </w:rPr>
        <w:t>0</w:t>
      </w:r>
      <w:r w:rsidRPr="0021055B">
        <w:rPr>
          <w:rFonts w:cstheme="minorHAnsi"/>
        </w:rPr>
        <w:t>.</w:t>
      </w:r>
      <w:r w:rsidR="00FF355C">
        <w:rPr>
          <w:rFonts w:cstheme="minorHAnsi"/>
        </w:rPr>
        <w:t>11</w:t>
      </w:r>
      <w:bookmarkStart w:id="0" w:name="_GoBack"/>
      <w:bookmarkEnd w:id="0"/>
      <w:r w:rsidRPr="0021055B">
        <w:rPr>
          <w:rFonts w:cstheme="minorHAnsi"/>
        </w:rPr>
        <w:t>.202</w:t>
      </w:r>
      <w:r>
        <w:rPr>
          <w:rFonts w:cstheme="minorHAnsi"/>
        </w:rPr>
        <w:t>2</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3E26CF" w:rsidRPr="003E26CF">
        <w:rPr>
          <w:rFonts w:cstheme="minorHAnsi"/>
          <w:b/>
        </w:rPr>
        <w:t>Альфа-Капитал Коммерческие метры</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3E26C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3E26CF" w:rsidRPr="003E26CF">
        <w:rPr>
          <w:rFonts w:cstheme="minorHAnsi"/>
        </w:rPr>
        <w:t>https://www.alfacapital.ru/disclosure/pifs_closed/zpifn_akkm/pif-rules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832FB4" w:rsidRDefault="00236A0E" w:rsidP="00832FB4">
      <w:pPr>
        <w:pStyle w:val="ConsPlusNormal"/>
        <w:numPr>
          <w:ilvl w:val="0"/>
          <w:numId w:val="2"/>
        </w:numPr>
        <w:spacing w:line="276" w:lineRule="auto"/>
        <w:jc w:val="both"/>
      </w:pPr>
      <w:r w:rsidRPr="00832FB4">
        <w:t xml:space="preserve">Осуществление инвестиций в </w:t>
      </w:r>
      <w:r w:rsidR="004D0DAF" w:rsidRPr="00832FB4">
        <w:t>коммерческую недвижимость с</w:t>
      </w:r>
      <w:r w:rsidRPr="00832FB4">
        <w:t xml:space="preserve"> целью сдачи их в аренду/последующей продажи.</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w:t>
      </w:r>
      <w:r w:rsidR="004D0DAF">
        <w:rPr>
          <w:rFonts w:cstheme="minorHAnsi"/>
        </w:rPr>
        <w:t xml:space="preserve">планирует </w:t>
      </w:r>
      <w:r w:rsidRPr="004C5035">
        <w:rPr>
          <w:rFonts w:cstheme="minorHAnsi"/>
        </w:rPr>
        <w:t>инвестир</w:t>
      </w:r>
      <w:r w:rsidR="004D0DAF">
        <w:rPr>
          <w:rFonts w:cstheme="minorHAnsi"/>
        </w:rPr>
        <w:t>овать</w:t>
      </w:r>
      <w:r w:rsidRPr="004C5035">
        <w:rPr>
          <w:rFonts w:cstheme="minorHAnsi"/>
        </w:rPr>
        <w:t xml:space="preserve"> в объекты недвижимого имущества </w:t>
      </w:r>
      <w:r w:rsidR="004D0DAF">
        <w:rPr>
          <w:rFonts w:cstheme="minorHAnsi"/>
        </w:rPr>
        <w:t>и инструменты денежного рынка</w:t>
      </w:r>
      <w:r w:rsidRPr="004C5035">
        <w:rPr>
          <w:rFonts w:cstheme="minorHAnsi"/>
        </w:rPr>
        <w:t>.</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3E26CF">
        <w:t>-</w:t>
      </w:r>
      <w:r w:rsidRPr="001833AE">
        <w:t xml:space="preserve">. </w:t>
      </w:r>
      <w:r w:rsidR="00832FB4">
        <w:t>*</w:t>
      </w:r>
    </w:p>
    <w:p w:rsidR="00236A0E" w:rsidRPr="001833AE" w:rsidRDefault="00236A0E" w:rsidP="00236A0E">
      <w:pPr>
        <w:pStyle w:val="a3"/>
        <w:numPr>
          <w:ilvl w:val="0"/>
          <w:numId w:val="2"/>
        </w:numPr>
        <w:spacing w:line="276" w:lineRule="auto"/>
        <w:rPr>
          <w:rFonts w:cstheme="minorHAnsi"/>
        </w:rPr>
      </w:pPr>
      <w:r w:rsidRPr="001833AE">
        <w:rPr>
          <w:rFonts w:cstheme="minorHAnsi"/>
        </w:rPr>
        <w:t>Активы Фонда инвестированы в следующие объект</w:t>
      </w:r>
      <w:r w:rsidR="003E26CF">
        <w:rPr>
          <w:rFonts w:cstheme="minorHAnsi"/>
        </w:rPr>
        <w:t>ы</w:t>
      </w:r>
      <w:r w:rsidRPr="001833AE">
        <w:rPr>
          <w:rFonts w:cstheme="minorHAnsi"/>
        </w:rPr>
        <w:t>, доля которых в инвестиционном портфеле является максимальной:</w:t>
      </w:r>
      <w:r w:rsidR="00832FB4">
        <w:rPr>
          <w:rFonts w:cstheme="minorHAnsi"/>
        </w:rPr>
        <w:t xml:space="preserve"> *</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8C4FD4">
        <w:tc>
          <w:tcPr>
            <w:tcW w:w="6516" w:type="dxa"/>
            <w:shd w:val="clear" w:color="auto" w:fill="auto"/>
          </w:tcPr>
          <w:p w:rsidR="00236A0E" w:rsidRPr="001833AE" w:rsidRDefault="003E26CF" w:rsidP="008C4FD4">
            <w:pPr>
              <w:spacing w:line="276" w:lineRule="auto"/>
              <w:rPr>
                <w:rFonts w:cstheme="minorHAnsi"/>
              </w:rPr>
            </w:pPr>
            <w:r>
              <w:rPr>
                <w:rFonts w:cstheme="minorHAnsi"/>
              </w:rPr>
              <w:t>-</w:t>
            </w:r>
          </w:p>
        </w:tc>
        <w:tc>
          <w:tcPr>
            <w:tcW w:w="2829" w:type="dxa"/>
            <w:shd w:val="clear" w:color="auto" w:fill="auto"/>
          </w:tcPr>
          <w:p w:rsidR="00236A0E" w:rsidRPr="001833AE" w:rsidRDefault="003E26CF" w:rsidP="00E36902">
            <w:pPr>
              <w:spacing w:line="276" w:lineRule="auto"/>
              <w:jc w:val="center"/>
              <w:rPr>
                <w:rFonts w:cstheme="minorHAnsi"/>
              </w:rPr>
            </w:pPr>
            <w:r>
              <w:rPr>
                <w:rFonts w:cstheme="minorHAnsi"/>
              </w:rPr>
              <w:t>-</w:t>
            </w:r>
          </w:p>
        </w:tc>
      </w:tr>
      <w:tr w:rsidR="00434E39" w:rsidRPr="001833AE" w:rsidTr="008C4FD4">
        <w:tc>
          <w:tcPr>
            <w:tcW w:w="6516" w:type="dxa"/>
            <w:shd w:val="clear" w:color="auto" w:fill="auto"/>
          </w:tcPr>
          <w:p w:rsidR="00434E39" w:rsidRPr="001833AE" w:rsidRDefault="003E26CF" w:rsidP="008C4FD4">
            <w:pPr>
              <w:rPr>
                <w:rFonts w:cstheme="minorHAnsi"/>
              </w:rPr>
            </w:pPr>
            <w:r>
              <w:rPr>
                <w:rFonts w:cstheme="minorHAnsi"/>
              </w:rPr>
              <w:t>-</w:t>
            </w:r>
          </w:p>
        </w:tc>
        <w:tc>
          <w:tcPr>
            <w:tcW w:w="2829" w:type="dxa"/>
            <w:shd w:val="clear" w:color="auto" w:fill="auto"/>
          </w:tcPr>
          <w:p w:rsidR="00434E39" w:rsidRPr="003E26CF" w:rsidRDefault="003E26CF" w:rsidP="00E36902">
            <w:pPr>
              <w:spacing w:line="276" w:lineRule="auto"/>
              <w:jc w:val="center"/>
              <w:rPr>
                <w:rFonts w:cstheme="minorHAnsi"/>
              </w:rPr>
            </w:pPr>
            <w:r>
              <w:rPr>
                <w:rFonts w:cstheme="minorHAnsi"/>
              </w:rPr>
              <w:t>-</w:t>
            </w:r>
          </w:p>
        </w:tc>
      </w:tr>
      <w:tr w:rsidR="00236A0E" w:rsidRPr="001833AE" w:rsidTr="008C4FD4">
        <w:tc>
          <w:tcPr>
            <w:tcW w:w="6516" w:type="dxa"/>
            <w:shd w:val="clear" w:color="auto" w:fill="auto"/>
          </w:tcPr>
          <w:p w:rsidR="00236A0E" w:rsidRPr="001833AE" w:rsidRDefault="003E26CF" w:rsidP="008C4FD4">
            <w:pPr>
              <w:rPr>
                <w:rFonts w:cstheme="minorHAnsi"/>
              </w:rPr>
            </w:pPr>
            <w:r>
              <w:rPr>
                <w:rFonts w:cstheme="minorHAnsi"/>
              </w:rPr>
              <w:t>-</w:t>
            </w:r>
          </w:p>
        </w:tc>
        <w:tc>
          <w:tcPr>
            <w:tcW w:w="2829" w:type="dxa"/>
            <w:shd w:val="clear" w:color="auto" w:fill="auto"/>
          </w:tcPr>
          <w:p w:rsidR="00236A0E" w:rsidRPr="003E26CF" w:rsidRDefault="003E26CF" w:rsidP="00434E39">
            <w:pPr>
              <w:spacing w:line="276" w:lineRule="auto"/>
              <w:jc w:val="center"/>
              <w:rPr>
                <w:rFonts w:cstheme="minorHAnsi"/>
              </w:rPr>
            </w:pPr>
            <w:r>
              <w:rPr>
                <w:rFonts w:cstheme="minorHAnsi"/>
              </w:rPr>
              <w:t>-</w:t>
            </w:r>
          </w:p>
        </w:tc>
      </w:tr>
    </w:tbl>
    <w:p w:rsidR="00236A0E" w:rsidRDefault="00236A0E" w:rsidP="00236A0E">
      <w:pPr>
        <w:spacing w:after="0" w:line="240" w:lineRule="auto"/>
        <w:rPr>
          <w:rFonts w:cstheme="minorHAnsi"/>
          <w:b/>
        </w:rPr>
      </w:pPr>
    </w:p>
    <w:p w:rsidR="00832FB4" w:rsidRPr="00832FB4" w:rsidRDefault="00832FB4" w:rsidP="00832FB4">
      <w:pPr>
        <w:spacing w:after="0" w:line="240" w:lineRule="auto"/>
        <w:jc w:val="both"/>
        <w:rPr>
          <w:rFonts w:cstheme="minorHAnsi"/>
          <w:sz w:val="18"/>
          <w:szCs w:val="18"/>
        </w:rPr>
      </w:pPr>
      <w:r w:rsidRPr="00832FB4">
        <w:rPr>
          <w:rFonts w:cstheme="minorHAnsi"/>
          <w:sz w:val="18"/>
          <w:szCs w:val="18"/>
        </w:rPr>
        <w:t>*</w:t>
      </w:r>
      <w:r w:rsidRPr="00832FB4">
        <w:rPr>
          <w:rFonts w:cstheme="minorHAnsi" w:hint="eastAsia"/>
          <w:sz w:val="18"/>
          <w:szCs w:val="18"/>
        </w:rPr>
        <w:t>Фонд</w:t>
      </w:r>
      <w:r w:rsidRPr="00832FB4">
        <w:rPr>
          <w:rFonts w:cstheme="minorHAnsi"/>
          <w:sz w:val="18"/>
          <w:szCs w:val="18"/>
        </w:rPr>
        <w:t xml:space="preserve"> </w:t>
      </w:r>
      <w:r w:rsidRPr="00832FB4">
        <w:rPr>
          <w:rFonts w:cstheme="minorHAnsi" w:hint="eastAsia"/>
          <w:sz w:val="18"/>
          <w:szCs w:val="18"/>
        </w:rPr>
        <w:t>находится</w:t>
      </w:r>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r w:rsidRPr="00832FB4">
        <w:rPr>
          <w:rFonts w:cstheme="minorHAnsi" w:hint="eastAsia"/>
          <w:sz w:val="18"/>
          <w:szCs w:val="18"/>
        </w:rPr>
        <w:t>стадии</w:t>
      </w:r>
      <w:r w:rsidRPr="00832FB4">
        <w:rPr>
          <w:rFonts w:cstheme="minorHAnsi"/>
          <w:sz w:val="18"/>
          <w:szCs w:val="18"/>
        </w:rPr>
        <w:t xml:space="preserve"> </w:t>
      </w:r>
      <w:r w:rsidRPr="00832FB4">
        <w:rPr>
          <w:rFonts w:cstheme="minorHAnsi" w:hint="eastAsia"/>
          <w:sz w:val="18"/>
          <w:szCs w:val="18"/>
        </w:rPr>
        <w:t>формирования</w:t>
      </w:r>
    </w:p>
    <w:p w:rsidR="00832FB4" w:rsidRDefault="00832FB4" w:rsidP="00832FB4">
      <w:pPr>
        <w:spacing w:after="0" w:line="240" w:lineRule="auto"/>
        <w:jc w:val="both"/>
        <w:rPr>
          <w:rFonts w:cstheme="minorHAnsi"/>
        </w:rPr>
      </w:pPr>
    </w:p>
    <w:p w:rsidR="00832FB4" w:rsidRPr="00832FB4" w:rsidRDefault="00832FB4" w:rsidP="00832FB4">
      <w:pPr>
        <w:spacing w:after="0" w:line="240" w:lineRule="auto"/>
        <w:jc w:val="both"/>
        <w:rPr>
          <w:rFonts w:cstheme="minorHAnsi"/>
        </w:rPr>
      </w:pPr>
    </w:p>
    <w:p w:rsidR="00236A0E" w:rsidRPr="00C50091" w:rsidRDefault="00236A0E" w:rsidP="00236A0E">
      <w:pPr>
        <w:spacing w:after="0" w:line="240" w:lineRule="auto"/>
        <w:rPr>
          <w:rFonts w:cstheme="minorHAnsi"/>
        </w:rPr>
      </w:pPr>
      <w:r w:rsidRPr="00C50091">
        <w:rPr>
          <w:rFonts w:cstheme="minorHAnsi"/>
          <w:b/>
        </w:rPr>
        <w:lastRenderedPageBreak/>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C2477D" w:rsidP="008C4FD4">
            <w:pPr>
              <w:spacing w:line="276" w:lineRule="auto"/>
              <w:rPr>
                <w:rFonts w:cstheme="minorHAnsi"/>
              </w:rPr>
            </w:pPr>
            <w:r>
              <w:rPr>
                <w:rFonts w:cstheme="minorHAnsi"/>
                <w:lang w:eastAsia="ru-RU"/>
              </w:rPr>
              <w:t>-</w:t>
            </w:r>
          </w:p>
        </w:tc>
        <w:tc>
          <w:tcPr>
            <w:tcW w:w="3089" w:type="dxa"/>
          </w:tcPr>
          <w:p w:rsidR="00236A0E" w:rsidRPr="000D7908" w:rsidRDefault="00C2477D" w:rsidP="008C4FD4">
            <w:pPr>
              <w:spacing w:line="276" w:lineRule="auto"/>
              <w:rPr>
                <w:rFonts w:cstheme="minorHAnsi"/>
              </w:rPr>
            </w:pPr>
            <w:r>
              <w:rPr>
                <w:rFonts w:cstheme="minorHAnsi"/>
              </w:rPr>
              <w:t>-</w:t>
            </w:r>
          </w:p>
        </w:tc>
        <w:tc>
          <w:tcPr>
            <w:tcW w:w="3119" w:type="dxa"/>
          </w:tcPr>
          <w:p w:rsidR="00236A0E" w:rsidRPr="000D7908" w:rsidRDefault="00C2477D" w:rsidP="008C4FD4">
            <w:pPr>
              <w:spacing w:line="276" w:lineRule="auto"/>
              <w:rPr>
                <w:rFonts w:cstheme="minorHAnsi"/>
              </w:rPr>
            </w:pPr>
            <w:r>
              <w:rPr>
                <w:rFonts w:cstheme="minorHAnsi"/>
              </w:rPr>
              <w:t>-</w:t>
            </w:r>
          </w:p>
        </w:tc>
      </w:tr>
    </w:tbl>
    <w:p w:rsidR="00236A0E" w:rsidRPr="00C50091" w:rsidRDefault="00236A0E" w:rsidP="00236A0E">
      <w:pPr>
        <w:spacing w:line="276" w:lineRule="auto"/>
        <w:rPr>
          <w:rFonts w:cstheme="minorHAnsi"/>
        </w:rPr>
      </w:pPr>
    </w:p>
    <w:p w:rsidR="00236A0E" w:rsidRPr="00C50091" w:rsidRDefault="00236A0E" w:rsidP="00236A0E">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0B107A" w:rsidRDefault="00236A0E" w:rsidP="008C4FD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236A0E" w:rsidRPr="00C50091" w:rsidTr="008C4FD4">
        <w:trPr>
          <w:trHeight w:val="1074"/>
        </w:trPr>
        <w:tc>
          <w:tcPr>
            <w:tcW w:w="4365" w:type="dxa"/>
            <w:vMerge w:val="restart"/>
            <w:vAlign w:val="center"/>
          </w:tcPr>
          <w:p w:rsidR="00236A0E" w:rsidRPr="000B107A" w:rsidRDefault="00236A0E" w:rsidP="008C4FD4">
            <w:pPr>
              <w:pStyle w:val="ConsPlusNormal"/>
              <w:jc w:val="center"/>
              <w:rPr>
                <w:rFonts w:asciiTheme="minorHAnsi" w:hAnsiTheme="minorHAnsi" w:cstheme="minorHAnsi"/>
                <w:lang w:val="en-US"/>
              </w:rPr>
            </w:pPr>
          </w:p>
        </w:tc>
        <w:tc>
          <w:tcPr>
            <w:tcW w:w="1380"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236A0E" w:rsidRPr="00E36902" w:rsidRDefault="003E26CF" w:rsidP="00E36902">
            <w:pPr>
              <w:pStyle w:val="ConsPlusNormal"/>
              <w:rPr>
                <w:color w:val="000000"/>
                <w:szCs w:val="22"/>
              </w:rPr>
            </w:pPr>
            <w:r>
              <w:rPr>
                <w:color w:val="000000"/>
                <w:szCs w:val="22"/>
              </w:rPr>
              <w:t>-</w:t>
            </w:r>
          </w:p>
        </w:tc>
        <w:tc>
          <w:tcPr>
            <w:tcW w:w="1705" w:type="dxa"/>
            <w:vAlign w:val="bottom"/>
          </w:tcPr>
          <w:p w:rsidR="00236A0E" w:rsidRPr="00E36902" w:rsidRDefault="003E26CF" w:rsidP="00E36902">
            <w:pPr>
              <w:pStyle w:val="ConsPlusNormal"/>
              <w:rPr>
                <w:color w:val="000000"/>
                <w:szCs w:val="22"/>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236A0E" w:rsidRPr="00C50091" w:rsidRDefault="00236A0E" w:rsidP="00236A0E">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 2021</w:t>
      </w:r>
      <w:r w:rsidRPr="001A3404">
        <w:rPr>
          <w:rFonts w:cstheme="minorHAnsi"/>
        </w:rPr>
        <w:t xml:space="preserve"> календарные годы, так как ПИФ </w:t>
      </w:r>
      <w:r w:rsidR="003E26CF">
        <w:rPr>
          <w:rFonts w:cstheme="minorHAnsi"/>
        </w:rPr>
        <w:t>не сформирован</w:t>
      </w:r>
      <w:r w:rsidRPr="001A3404">
        <w:rPr>
          <w:rFonts w:cstheme="minorHAnsi"/>
        </w:rPr>
        <w:t>.</w:t>
      </w:r>
    </w:p>
    <w:p w:rsidR="00236A0E" w:rsidRPr="00C50091" w:rsidRDefault="00236A0E" w:rsidP="00E3690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E26CF">
        <w:rPr>
          <w:rFonts w:cstheme="minorHAnsi"/>
        </w:rPr>
        <w:t>-</w:t>
      </w:r>
      <w:r w:rsidRPr="00C50091">
        <w:rPr>
          <w:rFonts w:cstheme="minorHAnsi"/>
        </w:rPr>
        <w:t>.</w:t>
      </w:r>
      <w:r w:rsidR="00832FB4">
        <w:rPr>
          <w:rFonts w:cstheme="minorHAnsi"/>
        </w:rPr>
        <w:t>*</w:t>
      </w:r>
    </w:p>
    <w:p w:rsidR="00236A0E" w:rsidRPr="00C50091" w:rsidRDefault="00236A0E" w:rsidP="00E3690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3E26CF">
        <w:rPr>
          <w:rFonts w:cstheme="minorHAnsi"/>
        </w:rPr>
        <w:t>-</w:t>
      </w:r>
      <w:r w:rsidRPr="00C50091">
        <w:rPr>
          <w:rFonts w:cstheme="minorHAnsi"/>
        </w:rPr>
        <w:t>.</w:t>
      </w:r>
      <w:r w:rsidR="00832FB4">
        <w:rPr>
          <w:rFonts w:cstheme="minorHAnsi"/>
        </w:rPr>
        <w:t>*</w:t>
      </w:r>
    </w:p>
    <w:p w:rsidR="003E26CF" w:rsidRPr="003E26CF" w:rsidRDefault="003E26CF" w:rsidP="003E26CF">
      <w:pPr>
        <w:pStyle w:val="a3"/>
        <w:numPr>
          <w:ilvl w:val="0"/>
          <w:numId w:val="3"/>
        </w:numPr>
        <w:spacing w:line="276" w:lineRule="auto"/>
        <w:jc w:val="both"/>
        <w:rPr>
          <w:rFonts w:cstheme="minorHAnsi"/>
        </w:rPr>
      </w:pPr>
      <w:r w:rsidRPr="003E26CF">
        <w:rPr>
          <w:rFonts w:cstheme="minorHAnsi"/>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3E26CF" w:rsidRPr="003E26CF" w:rsidRDefault="003E26CF" w:rsidP="003E26CF">
      <w:pPr>
        <w:spacing w:line="276" w:lineRule="auto"/>
        <w:ind w:left="360"/>
        <w:jc w:val="both"/>
        <w:rPr>
          <w:rFonts w:cstheme="minorHAnsi"/>
        </w:rPr>
      </w:pPr>
      <w:r w:rsidRPr="003E26CF">
        <w:rPr>
          <w:rFonts w:cstheme="minorHAnsi"/>
        </w:rPr>
        <w:t xml:space="preserve">(2) Доход от доверительного управления, распределяемый среди владельцев инвестиционных паев, составляет 97% (Девяносто семь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3E26CF" w:rsidRPr="003E26CF" w:rsidRDefault="003E26CF" w:rsidP="003E26CF">
      <w:pPr>
        <w:spacing w:line="276" w:lineRule="auto"/>
        <w:ind w:left="360"/>
        <w:jc w:val="both"/>
        <w:rPr>
          <w:rFonts w:cstheme="minorHAnsi"/>
        </w:rPr>
      </w:pPr>
      <w:r w:rsidRPr="003E26CF">
        <w:rPr>
          <w:rFonts w:cstheme="minorHAnsi"/>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за исключением счетов по депозитам, по состоянию на Отчетную дату определения дохода от доверительного управления, а также за вычетом: </w:t>
      </w:r>
    </w:p>
    <w:p w:rsidR="003E26CF" w:rsidRDefault="003E26CF" w:rsidP="003E26CF">
      <w:pPr>
        <w:spacing w:line="276" w:lineRule="auto"/>
        <w:ind w:left="360"/>
        <w:jc w:val="both"/>
        <w:rPr>
          <w:rFonts w:cstheme="minorHAnsi"/>
        </w:rPr>
      </w:pPr>
      <w:r w:rsidRPr="003E26CF">
        <w:rPr>
          <w:rFonts w:cstheme="minorHAnsi"/>
        </w:rPr>
        <w:t>- 0,5% от стоимости чистых активов Фонда, определенных на последний рабочий день предыдущего календарного месяца;</w:t>
      </w:r>
    </w:p>
    <w:p w:rsidR="00832FB4" w:rsidRPr="00832FB4" w:rsidRDefault="00832FB4" w:rsidP="00832FB4">
      <w:pPr>
        <w:spacing w:after="0" w:line="240" w:lineRule="auto"/>
        <w:jc w:val="both"/>
        <w:rPr>
          <w:rFonts w:cstheme="minorHAnsi"/>
          <w:sz w:val="18"/>
          <w:szCs w:val="18"/>
        </w:rPr>
      </w:pPr>
      <w:r w:rsidRPr="00832FB4">
        <w:rPr>
          <w:rFonts w:cstheme="minorHAnsi"/>
          <w:sz w:val="18"/>
          <w:szCs w:val="18"/>
        </w:rPr>
        <w:t>*</w:t>
      </w:r>
      <w:r w:rsidRPr="00832FB4">
        <w:rPr>
          <w:rFonts w:cstheme="minorHAnsi" w:hint="eastAsia"/>
          <w:sz w:val="18"/>
          <w:szCs w:val="18"/>
        </w:rPr>
        <w:t>Фонд</w:t>
      </w:r>
      <w:r w:rsidRPr="00832FB4">
        <w:rPr>
          <w:rFonts w:cstheme="minorHAnsi"/>
          <w:sz w:val="18"/>
          <w:szCs w:val="18"/>
        </w:rPr>
        <w:t xml:space="preserve"> </w:t>
      </w:r>
      <w:r w:rsidRPr="00832FB4">
        <w:rPr>
          <w:rFonts w:cstheme="minorHAnsi" w:hint="eastAsia"/>
          <w:sz w:val="18"/>
          <w:szCs w:val="18"/>
        </w:rPr>
        <w:t>находится</w:t>
      </w:r>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r w:rsidRPr="00832FB4">
        <w:rPr>
          <w:rFonts w:cstheme="minorHAnsi" w:hint="eastAsia"/>
          <w:sz w:val="18"/>
          <w:szCs w:val="18"/>
        </w:rPr>
        <w:t>стадии</w:t>
      </w:r>
      <w:r w:rsidRPr="00832FB4">
        <w:rPr>
          <w:rFonts w:cstheme="minorHAnsi"/>
          <w:sz w:val="18"/>
          <w:szCs w:val="18"/>
        </w:rPr>
        <w:t xml:space="preserve"> </w:t>
      </w:r>
      <w:r w:rsidRPr="00832FB4">
        <w:rPr>
          <w:rFonts w:cstheme="minorHAnsi" w:hint="eastAsia"/>
          <w:sz w:val="18"/>
          <w:szCs w:val="18"/>
        </w:rPr>
        <w:t>формирования</w:t>
      </w:r>
    </w:p>
    <w:p w:rsidR="00832FB4" w:rsidRPr="003E26CF" w:rsidRDefault="00832FB4" w:rsidP="003E26CF">
      <w:pPr>
        <w:spacing w:line="276" w:lineRule="auto"/>
        <w:ind w:left="360"/>
        <w:jc w:val="both"/>
        <w:rPr>
          <w:rFonts w:cstheme="minorHAnsi"/>
        </w:rPr>
      </w:pPr>
    </w:p>
    <w:p w:rsidR="003E26CF" w:rsidRPr="003E26CF" w:rsidRDefault="003E26CF" w:rsidP="003E26CF">
      <w:pPr>
        <w:spacing w:line="276" w:lineRule="auto"/>
        <w:ind w:left="360"/>
        <w:jc w:val="both"/>
        <w:rPr>
          <w:rFonts w:cstheme="minorHAnsi"/>
        </w:rPr>
      </w:pPr>
      <w:r w:rsidRPr="003E26CF">
        <w:rPr>
          <w:rFonts w:cstheme="minorHAnsi"/>
        </w:rPr>
        <w:t>- денежных средств, зачисленных в соответствующую Отчетную дату определения дохода от доверительного управления на банковские счета, открытые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w:t>
      </w:r>
    </w:p>
    <w:p w:rsidR="003E26CF" w:rsidRPr="003E26CF" w:rsidRDefault="003E26CF" w:rsidP="003E26CF">
      <w:pPr>
        <w:spacing w:line="276" w:lineRule="auto"/>
        <w:ind w:left="360"/>
        <w:jc w:val="both"/>
        <w:rPr>
          <w:rFonts w:cstheme="minorHAnsi"/>
        </w:rPr>
      </w:pPr>
      <w:r w:rsidRPr="003E26CF">
        <w:rPr>
          <w:rFonts w:cstheme="minorHAnsi"/>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3E26CF" w:rsidRPr="003E26CF" w:rsidRDefault="003E26CF" w:rsidP="003E26CF">
      <w:pPr>
        <w:spacing w:line="276" w:lineRule="auto"/>
        <w:ind w:left="360"/>
        <w:jc w:val="both"/>
        <w:rPr>
          <w:rFonts w:cstheme="minorHAnsi"/>
        </w:rPr>
      </w:pPr>
      <w:r w:rsidRPr="003E26CF">
        <w:rPr>
          <w:rFonts w:cstheme="minorHAnsi"/>
        </w:rPr>
        <w:t>(5) Выплата дохода от доверительного управления осуществляется в течение 30 (Тридцати) дней с даты его начисления.</w:t>
      </w:r>
    </w:p>
    <w:p w:rsidR="003E26CF" w:rsidRPr="003E26CF" w:rsidRDefault="003E26CF" w:rsidP="003E26CF">
      <w:pPr>
        <w:spacing w:line="276" w:lineRule="auto"/>
        <w:ind w:left="360"/>
        <w:jc w:val="both"/>
        <w:rPr>
          <w:rFonts w:cstheme="minorHAnsi"/>
        </w:rPr>
      </w:pPr>
      <w:r w:rsidRPr="003E26CF">
        <w:rPr>
          <w:rFonts w:cstheme="minorHAnsi"/>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3E26CF" w:rsidRPr="003E26CF" w:rsidRDefault="003E26CF" w:rsidP="003E26CF">
      <w:pPr>
        <w:spacing w:line="276" w:lineRule="auto"/>
        <w:ind w:left="360"/>
        <w:jc w:val="both"/>
        <w:rPr>
          <w:rFonts w:cstheme="minorHAnsi"/>
        </w:rPr>
      </w:pPr>
      <w:r w:rsidRPr="003E26CF">
        <w:rPr>
          <w:rFonts w:cstheme="minorHAnsi"/>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3E26CF" w:rsidRPr="003E26CF" w:rsidRDefault="003E26CF" w:rsidP="003E26CF">
      <w:pPr>
        <w:spacing w:line="276" w:lineRule="auto"/>
        <w:ind w:left="360"/>
        <w:jc w:val="both"/>
        <w:rPr>
          <w:rFonts w:cstheme="minorHAnsi"/>
        </w:rPr>
      </w:pPr>
      <w:r w:rsidRPr="003E26CF">
        <w:rPr>
          <w:rFonts w:cstheme="minorHAnsi"/>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236A0E" w:rsidRPr="003E26CF" w:rsidRDefault="003E26CF" w:rsidP="003E26CF">
      <w:pPr>
        <w:spacing w:line="276" w:lineRule="auto"/>
        <w:ind w:left="360"/>
        <w:jc w:val="both"/>
        <w:rPr>
          <w:rFonts w:cstheme="minorHAnsi"/>
        </w:rPr>
      </w:pPr>
      <w:r w:rsidRPr="003E26CF">
        <w:rPr>
          <w:rFonts w:cstheme="minorHAnsi"/>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 xml:space="preserve">вознаграждения и расходы, подлежащие оплате за счет активов паевого инвестиционного </w:t>
            </w:r>
            <w:r w:rsidRPr="00C50091">
              <w:rPr>
                <w:rFonts w:asciiTheme="minorHAnsi" w:hAnsiTheme="minorHAnsi" w:cstheme="minorHAnsi"/>
              </w:rPr>
              <w:lastRenderedPageBreak/>
              <w:t>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lastRenderedPageBreak/>
              <w:t>Вознаграждения 10</w:t>
            </w:r>
            <w:r w:rsidRPr="005E2EAC">
              <w:rPr>
                <w:rFonts w:asciiTheme="minorHAnsi" w:hAnsiTheme="minorHAnsi" w:cstheme="minorHAnsi"/>
              </w:rPr>
              <w:t>%</w:t>
            </w:r>
          </w:p>
          <w:p w:rsidR="00236A0E" w:rsidRPr="00C50091" w:rsidRDefault="00236A0E" w:rsidP="003E26C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3E26CF">
              <w:rPr>
                <w:rFonts w:asciiTheme="minorHAnsi" w:hAnsiTheme="minorHAnsi" w:cstheme="minorHAnsi"/>
              </w:rPr>
              <w:t>15</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4D0DAF" w:rsidRDefault="003F3DD8" w:rsidP="004D0DAF">
      <w:pPr>
        <w:pStyle w:val="a3"/>
        <w:numPr>
          <w:ilvl w:val="0"/>
          <w:numId w:val="4"/>
        </w:numPr>
        <w:spacing w:line="276" w:lineRule="auto"/>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100 000 (сто тысяч) рублей. Минимальная сумма денежных средств, передача которой в оплату инвестиционных паев обусловлена выдача </w:t>
      </w:r>
      <w:r w:rsidR="00AC1E6F" w:rsidRPr="004D0DAF">
        <w:rPr>
          <w:rFonts w:cstheme="minorHAnsi"/>
        </w:rPr>
        <w:t xml:space="preserve">дополнительных </w:t>
      </w:r>
      <w:r w:rsidRPr="004D0DAF">
        <w:rPr>
          <w:rFonts w:cstheme="minorHAnsi"/>
        </w:rPr>
        <w:t xml:space="preserve">инвестиционных паев, составляет 102 000 (сто две тысячи) рублей </w:t>
      </w:r>
      <w:r w:rsidR="003E26CF" w:rsidRPr="004D0DAF">
        <w:rPr>
          <w:rFonts w:cstheme="minorHAnsi"/>
        </w:rPr>
        <w:t>Подробные условия указаны в правилах доверительного управлен</w:t>
      </w:r>
      <w:r w:rsidRPr="004D0DAF">
        <w:rPr>
          <w:rFonts w:cstheme="minorHAnsi"/>
        </w:rPr>
        <w:t>ия паевым инвестиционным фондом</w:t>
      </w:r>
      <w:r w:rsidR="00236A0E" w:rsidRPr="004D0DAF">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w:t>
      </w:r>
      <w:r w:rsidR="00AC1E6F">
        <w:rPr>
          <w:rFonts w:cstheme="minorHAnsi"/>
        </w:rPr>
        <w:t>49</w:t>
      </w:r>
      <w:r w:rsidRPr="00C50091">
        <w:rPr>
          <w:rFonts w:cstheme="minorHAnsi"/>
        </w:rPr>
        <w:t xml:space="preserve"> зарегистрированы Банком России </w:t>
      </w:r>
      <w:r w:rsidR="00AC1E6F">
        <w:rPr>
          <w:rFonts w:cstheme="minorHAnsi"/>
        </w:rPr>
        <w:t>01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AC1E6F">
        <w:rPr>
          <w:rFonts w:cstheme="minorHAnsi"/>
        </w:rPr>
        <w:t>в процессе формирования</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5"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6"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AC1E6F" w:rsidRPr="00C50091" w:rsidRDefault="00AC1E6F" w:rsidP="00AC1E6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AC1E6F" w:rsidRPr="00C50091" w:rsidRDefault="00AC1E6F" w:rsidP="00AC1E6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AC1E6F" w:rsidRPr="00C50091" w:rsidRDefault="00AC1E6F" w:rsidP="00AC1E6F">
      <w:pPr>
        <w:pStyle w:val="a3"/>
        <w:spacing w:line="276" w:lineRule="auto"/>
        <w:jc w:val="both"/>
        <w:rPr>
          <w:rStyle w:val="a5"/>
          <w:rFonts w:cstheme="minorHAnsi"/>
        </w:rPr>
      </w:pPr>
      <w:r w:rsidRPr="00C50091">
        <w:rPr>
          <w:rFonts w:cstheme="minorHAnsi"/>
        </w:rPr>
        <w:t xml:space="preserve">Адрес в сети Internet </w:t>
      </w:r>
      <w:hyperlink r:id="rId7"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236A0E"/>
    <w:rsid w:val="002D0BDC"/>
    <w:rsid w:val="00361247"/>
    <w:rsid w:val="003E26CF"/>
    <w:rsid w:val="003F3DD8"/>
    <w:rsid w:val="00434E39"/>
    <w:rsid w:val="004A5D79"/>
    <w:rsid w:val="004D0DAF"/>
    <w:rsid w:val="00604E77"/>
    <w:rsid w:val="00832FB4"/>
    <w:rsid w:val="009F3BD9"/>
    <w:rsid w:val="00A012C7"/>
    <w:rsid w:val="00AC1E6F"/>
    <w:rsid w:val="00C2477D"/>
    <w:rsid w:val="00E36902"/>
    <w:rsid w:val="00FF3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38E8"/>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rrost.r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www.alfacapita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1411</Words>
  <Characters>8047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4</cp:revision>
  <dcterms:created xsi:type="dcterms:W3CDTF">2022-11-29T07:18:00Z</dcterms:created>
  <dcterms:modified xsi:type="dcterms:W3CDTF">2022-12-09T10:19:00Z</dcterms:modified>
</cp:coreProperties>
</file>