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7695BAB0" w14:textId="77777777" w:rsidR="0067466A" w:rsidRDefault="0067466A" w:rsidP="0067466A">
            <w:pPr>
              <w:pStyle w:val="af5"/>
              <w:jc w:val="left"/>
              <w:rPr>
                <w:color w:val="000000"/>
              </w:rPr>
            </w:pPr>
            <w:r>
              <w:rPr>
                <w:color w:val="000000"/>
              </w:rPr>
              <w:t>№</w:t>
            </w:r>
            <w:r>
              <w:t xml:space="preserve"> </w:t>
            </w:r>
            <w:r>
              <w:rPr>
                <w:color w:val="000000"/>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4A9D583B"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61552A">
        <w:rPr>
          <w:b/>
          <w:snapToGrid w:val="0"/>
          <w:sz w:val="28"/>
          <w:szCs w:val="28"/>
        </w:rPr>
        <w:t>ШЕСТНАДЦАТЬ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24EC543E"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67466A">
          <w:rPr>
            <w:noProof/>
            <w:webHidden/>
          </w:rPr>
          <w:t>3</w:t>
        </w:r>
        <w:r w:rsidR="00194FFA">
          <w:rPr>
            <w:noProof/>
            <w:webHidden/>
          </w:rPr>
          <w:fldChar w:fldCharType="end"/>
        </w:r>
      </w:hyperlink>
    </w:p>
    <w:p w14:paraId="60566128" w14:textId="3D9CC1C8" w:rsidR="00194FFA" w:rsidRDefault="0067466A">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Pr>
            <w:noProof/>
            <w:webHidden/>
          </w:rPr>
          <w:t>3</w:t>
        </w:r>
        <w:r w:rsidR="00194FFA">
          <w:rPr>
            <w:noProof/>
            <w:webHidden/>
          </w:rPr>
          <w:fldChar w:fldCharType="end"/>
        </w:r>
      </w:hyperlink>
    </w:p>
    <w:p w14:paraId="6CDA1DFC" w14:textId="5292EC11" w:rsidR="00194FFA" w:rsidRDefault="0067466A">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Pr>
            <w:noProof/>
            <w:webHidden/>
          </w:rPr>
          <w:t>4</w:t>
        </w:r>
        <w:r w:rsidR="00194FFA">
          <w:rPr>
            <w:noProof/>
            <w:webHidden/>
          </w:rPr>
          <w:fldChar w:fldCharType="end"/>
        </w:r>
      </w:hyperlink>
    </w:p>
    <w:p w14:paraId="06BD4051" w14:textId="3C158067" w:rsidR="00194FFA" w:rsidRDefault="0067466A">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w:t>
        </w:r>
        <w:bookmarkStart w:id="1" w:name="_GoBack"/>
        <w:bookmarkEnd w:id="1"/>
        <w:r w:rsidR="00194FFA" w:rsidRPr="000C325B">
          <w:rPr>
            <w:rStyle w:val="ae"/>
            <w:b/>
            <w:noProof/>
          </w:rPr>
          <w:t>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Pr>
            <w:noProof/>
            <w:webHidden/>
          </w:rPr>
          <w:t>4</w:t>
        </w:r>
        <w:r w:rsidR="00194FFA">
          <w:rPr>
            <w:noProof/>
            <w:webHidden/>
          </w:rPr>
          <w:fldChar w:fldCharType="end"/>
        </w:r>
      </w:hyperlink>
    </w:p>
    <w:p w14:paraId="255908F8" w14:textId="69C34A85" w:rsidR="00194FFA" w:rsidRDefault="0067466A">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Pr>
            <w:noProof/>
            <w:webHidden/>
          </w:rPr>
          <w:t>5</w:t>
        </w:r>
        <w:r w:rsidR="00194FFA">
          <w:rPr>
            <w:noProof/>
            <w:webHidden/>
          </w:rPr>
          <w:fldChar w:fldCharType="end"/>
        </w:r>
      </w:hyperlink>
    </w:p>
    <w:p w14:paraId="63B9C5A4" w14:textId="52E35364" w:rsidR="00194FFA" w:rsidRDefault="0067466A">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Pr>
            <w:noProof/>
            <w:webHidden/>
          </w:rPr>
          <w:t>8</w:t>
        </w:r>
        <w:r w:rsidR="00194FFA">
          <w:rPr>
            <w:noProof/>
            <w:webHidden/>
          </w:rPr>
          <w:fldChar w:fldCharType="end"/>
        </w:r>
      </w:hyperlink>
    </w:p>
    <w:p w14:paraId="68E02394" w14:textId="2B9C0F25" w:rsidR="00194FFA" w:rsidRDefault="0067466A">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Pr>
            <w:noProof/>
            <w:webHidden/>
          </w:rPr>
          <w:t>9</w:t>
        </w:r>
        <w:r w:rsidR="00194FFA">
          <w:rPr>
            <w:noProof/>
            <w:webHidden/>
          </w:rPr>
          <w:fldChar w:fldCharType="end"/>
        </w:r>
      </w:hyperlink>
    </w:p>
    <w:p w14:paraId="79C1E065" w14:textId="127AE030" w:rsidR="00194FFA" w:rsidRDefault="0067466A">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Pr>
            <w:noProof/>
            <w:webHidden/>
          </w:rPr>
          <w:t>11</w:t>
        </w:r>
        <w:r w:rsidR="00194FFA">
          <w:rPr>
            <w:noProof/>
            <w:webHidden/>
          </w:rPr>
          <w:fldChar w:fldCharType="end"/>
        </w:r>
      </w:hyperlink>
    </w:p>
    <w:p w14:paraId="1DCA77A8" w14:textId="5F5DDB76" w:rsidR="00194FFA" w:rsidRDefault="0067466A">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Pr>
            <w:noProof/>
            <w:webHidden/>
          </w:rPr>
          <w:t>17</w:t>
        </w:r>
        <w:r w:rsidR="00194FFA">
          <w:rPr>
            <w:noProof/>
            <w:webHidden/>
          </w:rPr>
          <w:fldChar w:fldCharType="end"/>
        </w:r>
      </w:hyperlink>
    </w:p>
    <w:p w14:paraId="7B5D3055" w14:textId="5AB4E23D" w:rsidR="00194FFA" w:rsidRDefault="0067466A">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Pr>
            <w:noProof/>
            <w:webHidden/>
          </w:rPr>
          <w:t>21</w:t>
        </w:r>
        <w:r w:rsidR="00194FFA">
          <w:rPr>
            <w:noProof/>
            <w:webHidden/>
          </w:rPr>
          <w:fldChar w:fldCharType="end"/>
        </w:r>
      </w:hyperlink>
    </w:p>
    <w:p w14:paraId="411437F2" w14:textId="3E1ABC16" w:rsidR="00194FFA" w:rsidRDefault="0067466A">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Pr>
            <w:noProof/>
            <w:webHidden/>
          </w:rPr>
          <w:t>22</w:t>
        </w:r>
        <w:r w:rsidR="00194FFA">
          <w:rPr>
            <w:noProof/>
            <w:webHidden/>
          </w:rPr>
          <w:fldChar w:fldCharType="end"/>
        </w:r>
      </w:hyperlink>
    </w:p>
    <w:p w14:paraId="3FB31D8D" w14:textId="42683515" w:rsidR="00194FFA" w:rsidRDefault="0067466A">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Pr>
            <w:noProof/>
            <w:webHidden/>
          </w:rPr>
          <w:t>22</w:t>
        </w:r>
        <w:r w:rsidR="00194FFA">
          <w:rPr>
            <w:noProof/>
            <w:webHidden/>
          </w:rPr>
          <w:fldChar w:fldCharType="end"/>
        </w:r>
      </w:hyperlink>
    </w:p>
    <w:p w14:paraId="55816D82" w14:textId="0A99C8E5" w:rsidR="00194FFA" w:rsidRDefault="0067466A">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Pr>
            <w:noProof/>
            <w:webHidden/>
          </w:rPr>
          <w:t>23</w:t>
        </w:r>
        <w:r w:rsidR="00194FFA">
          <w:rPr>
            <w:noProof/>
            <w:webHidden/>
          </w:rPr>
          <w:fldChar w:fldCharType="end"/>
        </w:r>
      </w:hyperlink>
    </w:p>
    <w:p w14:paraId="6152F269" w14:textId="2C8A5E15" w:rsidR="00194FFA" w:rsidRDefault="0067466A">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Pr>
            <w:noProof/>
            <w:webHidden/>
          </w:rPr>
          <w:t>24</w:t>
        </w:r>
        <w:r w:rsidR="00194FFA">
          <w:rPr>
            <w:noProof/>
            <w:webHidden/>
          </w:rPr>
          <w:fldChar w:fldCharType="end"/>
        </w:r>
      </w:hyperlink>
    </w:p>
    <w:p w14:paraId="462A8C59" w14:textId="41F0E2BB" w:rsidR="00194FFA" w:rsidRDefault="0067466A">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Pr>
            <w:noProof/>
            <w:webHidden/>
          </w:rPr>
          <w:t>29</w:t>
        </w:r>
        <w:r w:rsidR="00194FFA">
          <w:rPr>
            <w:noProof/>
            <w:webHidden/>
          </w:rPr>
          <w:fldChar w:fldCharType="end"/>
        </w:r>
      </w:hyperlink>
    </w:p>
    <w:p w14:paraId="695702E1" w14:textId="0AAC1F7E" w:rsidR="00194FFA" w:rsidRDefault="0067466A">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Pr>
            <w:noProof/>
            <w:webHidden/>
          </w:rPr>
          <w:t>29</w:t>
        </w:r>
        <w:r w:rsidR="00194FFA">
          <w:rPr>
            <w:noProof/>
            <w:webHidden/>
          </w:rPr>
          <w:fldChar w:fldCharType="end"/>
        </w:r>
      </w:hyperlink>
    </w:p>
    <w:p w14:paraId="4A1655B1" w14:textId="3814AADE" w:rsidR="00194FFA" w:rsidRDefault="0067466A">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Pr>
            <w:noProof/>
            <w:webHidden/>
          </w:rPr>
          <w:t>31</w:t>
        </w:r>
        <w:r w:rsidR="00194FFA">
          <w:rPr>
            <w:noProof/>
            <w:webHidden/>
          </w:rPr>
          <w:fldChar w:fldCharType="end"/>
        </w:r>
      </w:hyperlink>
    </w:p>
    <w:p w14:paraId="55E24CFA" w14:textId="1668CDA2" w:rsidR="00194FFA" w:rsidRDefault="0067466A">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Pr>
            <w:noProof/>
            <w:webHidden/>
          </w:rPr>
          <w:t>32</w:t>
        </w:r>
        <w:r w:rsidR="00194FFA">
          <w:rPr>
            <w:noProof/>
            <w:webHidden/>
          </w:rPr>
          <w:fldChar w:fldCharType="end"/>
        </w:r>
      </w:hyperlink>
    </w:p>
    <w:p w14:paraId="65AFFF51" w14:textId="166916CE" w:rsidR="00194FFA" w:rsidRDefault="0067466A">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Pr>
            <w:noProof/>
            <w:webHidden/>
          </w:rPr>
          <w:t>38</w:t>
        </w:r>
        <w:r w:rsidR="00194FFA">
          <w:rPr>
            <w:noProof/>
            <w:webHidden/>
          </w:rPr>
          <w:fldChar w:fldCharType="end"/>
        </w:r>
      </w:hyperlink>
    </w:p>
    <w:p w14:paraId="2BE2A0DE" w14:textId="2CD2E37E" w:rsidR="00194FFA" w:rsidRDefault="0067466A">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Pr>
            <w:noProof/>
            <w:webHidden/>
          </w:rPr>
          <w:t>43</w:t>
        </w:r>
        <w:r w:rsidR="00194FFA">
          <w:rPr>
            <w:noProof/>
            <w:webHidden/>
          </w:rPr>
          <w:fldChar w:fldCharType="end"/>
        </w:r>
      </w:hyperlink>
    </w:p>
    <w:p w14:paraId="30422157" w14:textId="2FBF5D13" w:rsidR="00194FFA" w:rsidRDefault="0067466A">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Pr>
            <w:noProof/>
            <w:webHidden/>
          </w:rPr>
          <w:t>49</w:t>
        </w:r>
        <w:r w:rsidR="00194FFA">
          <w:rPr>
            <w:noProof/>
            <w:webHidden/>
          </w:rPr>
          <w:fldChar w:fldCharType="end"/>
        </w:r>
      </w:hyperlink>
    </w:p>
    <w:p w14:paraId="7405E563" w14:textId="6FBF3FB2" w:rsidR="00194FFA" w:rsidRDefault="0067466A">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Pr>
            <w:noProof/>
            <w:webHidden/>
          </w:rPr>
          <w:t>50</w:t>
        </w:r>
        <w:r w:rsidR="00194FFA">
          <w:rPr>
            <w:noProof/>
            <w:webHidden/>
          </w:rPr>
          <w:fldChar w:fldCharType="end"/>
        </w:r>
      </w:hyperlink>
    </w:p>
    <w:p w14:paraId="213DFE8D" w14:textId="5BAE8DF8" w:rsidR="00194FFA" w:rsidRDefault="0067466A">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Pr>
            <w:noProof/>
            <w:webHidden/>
          </w:rPr>
          <w:t>62</w:t>
        </w:r>
        <w:r w:rsidR="00194FFA">
          <w:rPr>
            <w:noProof/>
            <w:webHidden/>
          </w:rPr>
          <w:fldChar w:fldCharType="end"/>
        </w:r>
      </w:hyperlink>
    </w:p>
    <w:p w14:paraId="625B3D2A" w14:textId="47A64031" w:rsidR="00194FFA" w:rsidRDefault="0067466A">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Pr>
            <w:noProof/>
            <w:webHidden/>
          </w:rPr>
          <w:t>64</w:t>
        </w:r>
        <w:r w:rsidR="00194FFA">
          <w:rPr>
            <w:noProof/>
            <w:webHidden/>
          </w:rPr>
          <w:fldChar w:fldCharType="end"/>
        </w:r>
      </w:hyperlink>
    </w:p>
    <w:p w14:paraId="61465B35" w14:textId="4ABEA2C4" w:rsidR="00194FFA" w:rsidRDefault="0067466A">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Pr>
            <w:noProof/>
            <w:webHidden/>
          </w:rPr>
          <w:t>65</w:t>
        </w:r>
        <w:r w:rsidR="00194FFA">
          <w:rPr>
            <w:noProof/>
            <w:webHidden/>
          </w:rPr>
          <w:fldChar w:fldCharType="end"/>
        </w:r>
      </w:hyperlink>
    </w:p>
    <w:p w14:paraId="6325F01F" w14:textId="54F96B18" w:rsidR="00194FFA" w:rsidRDefault="0067466A">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732F8D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61552A" w:rsidRPr="0061552A">
        <w:t>ШЕСТНАДЦАТЬ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w:t>
      </w:r>
      <w:r w:rsidR="008778C9" w:rsidRPr="006527B0">
        <w:lastRenderedPageBreak/>
        <w:t xml:space="preserve">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lastRenderedPageBreak/>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w:t>
      </w:r>
      <w:r w:rsidR="00D77760" w:rsidRPr="006527B0">
        <w:rPr>
          <w:rFonts w:cs="Arial"/>
          <w:lang w:val="ru-RU"/>
        </w:rPr>
        <w:lastRenderedPageBreak/>
        <w:t>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lastRenderedPageBreak/>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 xml:space="preserve">дата решения Банка России об отзыве лицензии банка (денежные средства </w:t>
      </w:r>
      <w:r w:rsidRPr="006527B0">
        <w:lastRenderedPageBreak/>
        <w:t>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67466A"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 xml:space="preserve">срок, оставшийся на дату </w:t>
      </w:r>
      <w:r w:rsidR="00EA72AB" w:rsidRPr="006527B0">
        <w:rPr>
          <w:color w:val="000000"/>
          <w:lang w:eastAsia="ru-RU"/>
        </w:rPr>
        <w:lastRenderedPageBreak/>
        <w:t>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67466A"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67466A"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67466A"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67466A"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67466A"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w:t>
      </w:r>
      <w:r w:rsidRPr="006527B0">
        <w:lastRenderedPageBreak/>
        <w:t xml:space="preserve">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lastRenderedPageBreak/>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lastRenderedPageBreak/>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63D49365" w:rsidR="008A54E3" w:rsidRPr="006527B0" w:rsidRDefault="008A54E3" w:rsidP="00A730F0">
            <w:r w:rsidRPr="006527B0">
              <w:t xml:space="preserve">Ценная бумага </w:t>
            </w:r>
            <w:r w:rsidR="00C204CA">
              <w:t xml:space="preserve">российского </w:t>
            </w:r>
            <w:r w:rsidR="00C204CA"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123F93EB" w14:textId="77777777" w:rsidR="00C204CA" w:rsidRPr="006527B0" w:rsidRDefault="00C204CA" w:rsidP="00C204CA">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C1A5F1C" w14:textId="77777777" w:rsidR="00C204CA" w:rsidRPr="006527B0" w:rsidRDefault="00C204CA" w:rsidP="00C204CA">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0ABF8C9E" w14:textId="77777777" w:rsidR="00C204CA" w:rsidRPr="006527B0" w:rsidRDefault="00C204CA" w:rsidP="00C204CA">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71823BE6" w14:textId="77777777" w:rsidR="00C204CA" w:rsidRPr="006527B0" w:rsidRDefault="00C204CA" w:rsidP="00C204CA">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C40D0BB" w14:textId="77777777" w:rsidR="00C204CA" w:rsidRPr="006527B0" w:rsidRDefault="00C204CA" w:rsidP="00C204CA">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D94583F" w14:textId="77777777" w:rsidR="00C204CA" w:rsidRPr="006527B0" w:rsidRDefault="00C204CA" w:rsidP="00C204CA">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4F0A3936" w14:textId="77777777" w:rsidR="00C204CA" w:rsidRPr="006527B0" w:rsidRDefault="00C204CA" w:rsidP="00C204CA">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ABCA62B" w14:textId="56419BAA" w:rsidR="00C204CA" w:rsidRDefault="00C204CA" w:rsidP="00C204CA">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54D0F34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2C408AA7" w:rsidR="00A730F0" w:rsidRPr="006527B0" w:rsidRDefault="00033F51" w:rsidP="00FD5E30">
            <w:r w:rsidRPr="006527B0">
              <w:t>Российские</w:t>
            </w:r>
            <w:r w:rsidR="00194FFA">
              <w:t xml:space="preserve"> </w:t>
            </w:r>
            <w:r w:rsidRPr="006527B0">
              <w:t>и иностранные ц</w:t>
            </w:r>
            <w:r w:rsidR="00DE25C7" w:rsidRPr="006527B0">
              <w:t>е</w:t>
            </w:r>
            <w:r w:rsidRPr="006527B0">
              <w:t>нные бумаги</w:t>
            </w:r>
          </w:p>
        </w:tc>
        <w:tc>
          <w:tcPr>
            <w:tcW w:w="6345" w:type="dxa"/>
            <w:shd w:val="clear" w:color="auto" w:fill="auto"/>
          </w:tcPr>
          <w:p w14:paraId="50E5BD55" w14:textId="77777777" w:rsidR="008F571D" w:rsidRPr="006527B0" w:rsidRDefault="008F571D" w:rsidP="009A6B27">
            <w:pPr>
              <w:ind w:firstLine="323"/>
              <w:rPr>
                <w:rFonts w:eastAsia="Times New Roman"/>
                <w:color w:val="000000"/>
              </w:rPr>
            </w:pPr>
            <w:r w:rsidRPr="006527B0">
              <w:rPr>
                <w:rFonts w:eastAsia="Times New Roman"/>
                <w:b/>
                <w:color w:val="000000"/>
              </w:rPr>
              <w:t xml:space="preserve">Для </w:t>
            </w:r>
            <w:r w:rsidR="00B03284" w:rsidRPr="006527B0">
              <w:rPr>
                <w:rFonts w:eastAsia="Times New Roman"/>
                <w:b/>
                <w:color w:val="000000"/>
              </w:rPr>
              <w:t xml:space="preserve">ценных бумаг </w:t>
            </w:r>
            <w:r w:rsidRPr="006527B0">
              <w:rPr>
                <w:rFonts w:eastAsia="Times New Roman"/>
                <w:b/>
                <w:color w:val="000000"/>
              </w:rPr>
              <w:t>российских эмитентов</w:t>
            </w:r>
            <w:r w:rsidRPr="006527B0">
              <w:rPr>
                <w:rFonts w:eastAsia="Times New Roman"/>
                <w:color w:val="000000"/>
              </w:rPr>
              <w:t>,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189D4FD5" w14:textId="77777777" w:rsidR="008F571D" w:rsidRPr="006527B0" w:rsidRDefault="008F571D" w:rsidP="00426AC8">
            <w:pPr>
              <w:pStyle w:val="a4"/>
              <w:numPr>
                <w:ilvl w:val="0"/>
                <w:numId w:val="43"/>
              </w:numPr>
              <w:ind w:left="0" w:firstLine="323"/>
              <w:rPr>
                <w:rFonts w:eastAsia="Times New Roman"/>
                <w:color w:val="000000"/>
              </w:rPr>
            </w:pPr>
            <w:r w:rsidRPr="006527B0">
              <w:rPr>
                <w:rFonts w:eastAsia="Times New Roman"/>
                <w:color w:val="000000"/>
              </w:rPr>
              <w:t>методика расчёта кривой бескупонной доходности государственных облигаций, определенная Московской биржей;</w:t>
            </w:r>
          </w:p>
          <w:p w14:paraId="660C4BB5" w14:textId="77777777" w:rsidR="008F571D" w:rsidRPr="006527B0" w:rsidRDefault="008F571D" w:rsidP="00426AC8">
            <w:pPr>
              <w:pStyle w:val="a4"/>
              <w:numPr>
                <w:ilvl w:val="0"/>
                <w:numId w:val="43"/>
              </w:numPr>
              <w:ind w:left="0" w:firstLine="323"/>
              <w:rPr>
                <w:rFonts w:eastAsia="Times New Roman"/>
                <w:color w:val="000000"/>
              </w:rPr>
            </w:pPr>
            <w:r w:rsidRPr="006527B0">
              <w:rPr>
                <w:rFonts w:eastAsia="Times New Roman"/>
                <w:color w:val="000000"/>
              </w:rPr>
              <w:t>динамические параметры G-кривой по состоянию на каждый торговый день, публикуемые на официальном сайте Московской биржи.</w:t>
            </w:r>
          </w:p>
          <w:p w14:paraId="00C15AD7" w14:textId="77777777" w:rsidR="008F571D" w:rsidRPr="006527B0" w:rsidRDefault="008F571D" w:rsidP="009A6B27">
            <w:pPr>
              <w:ind w:firstLine="323"/>
              <w:rPr>
                <w:rFonts w:eastAsia="Times New Roman"/>
                <w:color w:val="000000"/>
              </w:rPr>
            </w:pPr>
            <w:r w:rsidRPr="006527B0">
              <w:rPr>
                <w:rFonts w:eastAsia="Times New Roman"/>
                <w:color w:val="000000"/>
              </w:rPr>
              <w:t xml:space="preserve">Ставка КБД рассчитывается без промежуточных округлений с </w:t>
            </w:r>
            <w:r w:rsidRPr="006527B0">
              <w:rPr>
                <w:rFonts w:eastAsia="Times New Roman"/>
                <w:color w:val="000000"/>
              </w:rPr>
              <w:lastRenderedPageBreak/>
              <w:t>точностью до 2 знаков после запятой (в процентном выражении).</w:t>
            </w:r>
          </w:p>
          <w:p w14:paraId="3BA45C9C" w14:textId="621A376A"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lastRenderedPageBreak/>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w:t>
            </w:r>
            <w:r w:rsidRPr="006527B0" w:rsidDel="00F42424">
              <w:rPr>
                <w:iCs/>
              </w:rPr>
              <w:lastRenderedPageBreak/>
              <w:t>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lastRenderedPageBreak/>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w:t>
            </w:r>
            <w:r w:rsidRPr="006527B0" w:rsidDel="00F42424">
              <w:rPr>
                <w:iCs/>
              </w:rPr>
              <w:lastRenderedPageBreak/>
              <w:t>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lastRenderedPageBreak/>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 xml:space="preserve">Дата решения Банка России об отзыве лицензии банка, (денежные средства </w:t>
      </w:r>
      <w:r w:rsidRPr="006527B0">
        <w:lastRenderedPageBreak/>
        <w:t>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lastRenderedPageBreak/>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 xml:space="preserve">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w:t>
      </w:r>
      <w:r w:rsidRPr="006527B0">
        <w:lastRenderedPageBreak/>
        <w:t>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67466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67466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xml:space="preserve">) рабочих дней </w:t>
      </w:r>
      <w:r w:rsidRPr="006527B0">
        <w:lastRenderedPageBreak/>
        <w:t>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67466A"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67466A"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67466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67466A"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67466A"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67466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67466A"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w:t>
      </w:r>
      <w:r w:rsidRPr="006527B0">
        <w:lastRenderedPageBreak/>
        <w:t xml:space="preserve">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 xml:space="preserve">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w:t>
      </w:r>
      <w:r w:rsidR="0049241B" w:rsidRPr="006527B0">
        <w:lastRenderedPageBreak/>
        <w:t>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67466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67466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w:t>
      </w:r>
      <w:r w:rsidRPr="006527B0">
        <w:lastRenderedPageBreak/>
        <w:t xml:space="preserve">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67466A"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67466A"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67466A"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 xml:space="preserve">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w:t>
      </w:r>
      <w:r w:rsidRPr="006527B0">
        <w:lastRenderedPageBreak/>
        <w:t>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67466A"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67466A"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67466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67466A"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67466A"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67466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67466A"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w:t>
      </w:r>
      <w:r w:rsidRPr="006527B0">
        <w:rPr>
          <w:bCs/>
        </w:rPr>
        <w:lastRenderedPageBreak/>
        <w:t xml:space="preserve">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lastRenderedPageBreak/>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w:t>
      </w:r>
      <w:r w:rsidRPr="006527B0">
        <w:lastRenderedPageBreak/>
        <w:t>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 xml:space="preserve">LGD (Loss Given Default, потери при банкротстве) – доля от суммы, подверженной </w:t>
      </w:r>
      <w:r w:rsidRPr="006527B0">
        <w:rPr>
          <w:rFonts w:eastAsia="Times New Roman"/>
        </w:rPr>
        <w:lastRenderedPageBreak/>
        <w:t>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67466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67466A"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67466A"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67466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67466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67466A"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67466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67466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67466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67466A"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67466A"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67466A"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xml:space="preserve">) рассчитывается на основании выбранных Фондом аналогичных долговых ценных бумаг, для которых на дату расчета СЧА (или в </w:t>
      </w:r>
      <w:r w:rsidRPr="006527B0">
        <w:lastRenderedPageBreak/>
        <w:t>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67466A"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67466A"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67466A"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lastRenderedPageBreak/>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67466A"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67466A"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67466A"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67466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67466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67466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67466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67466A"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67466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67466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67466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67466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67466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67466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67466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67466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67466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w:t>
      </w:r>
      <w:r w:rsidRPr="006527B0">
        <w:lastRenderedPageBreak/>
        <w:t>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lastRenderedPageBreak/>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325"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67466A"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67466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67466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67466A"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67466A"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67466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67466A"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67466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67466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67466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67466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67466A"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67466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67466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w:t>
      </w:r>
      <w:r w:rsidR="00C5055D" w:rsidRPr="006527B0">
        <w:lastRenderedPageBreak/>
        <w:t xml:space="preserve">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lastRenderedPageBreak/>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 xml:space="preserve">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w:t>
      </w:r>
      <w:r w:rsidR="00A52182" w:rsidRPr="00A52182">
        <w:rPr>
          <w:lang w:val="ru-RU"/>
        </w:rPr>
        <w:lastRenderedPageBreak/>
        <w:t>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lastRenderedPageBreak/>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 xml:space="preserve">Срок погашения дебиторской задолженности не более 15 рабочих дней с даты ее возникновения (с учетом срока пролонгации и </w:t>
            </w:r>
            <w:r w:rsidRPr="006527B0">
              <w:rPr>
                <w:rFonts w:eastAsia="Times New Roman"/>
                <w:color w:val="000000"/>
                <w:lang w:eastAsia="ru-RU"/>
              </w:rPr>
              <w:lastRenderedPageBreak/>
              <w:t>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67466A"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67466A"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67466A"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w:t>
      </w:r>
      <w:r w:rsidR="00803EF1" w:rsidRPr="00803EF1">
        <w:lastRenderedPageBreak/>
        <w:t>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726F" w14:textId="77777777" w:rsidR="00E04650" w:rsidRDefault="00E04650" w:rsidP="00C31E51">
      <w:r>
        <w:separator/>
      </w:r>
    </w:p>
  </w:endnote>
  <w:endnote w:type="continuationSeparator" w:id="0">
    <w:p w14:paraId="343F9D7B" w14:textId="77777777" w:rsidR="00E04650" w:rsidRDefault="00E04650" w:rsidP="00C31E51">
      <w:r>
        <w:continuationSeparator/>
      </w:r>
    </w:p>
  </w:endnote>
  <w:endnote w:type="continuationNotice" w:id="1">
    <w:p w14:paraId="38FB1F82" w14:textId="77777777" w:rsidR="00E04650" w:rsidRDefault="00E0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2038B863" w:rsidR="002052AC" w:rsidRDefault="002052AC">
    <w:pPr>
      <w:pStyle w:val="af9"/>
      <w:jc w:val="right"/>
    </w:pPr>
    <w:r>
      <w:fldChar w:fldCharType="begin"/>
    </w:r>
    <w:r>
      <w:instrText>PAGE   \* MERGEFORMAT</w:instrText>
    </w:r>
    <w:r>
      <w:fldChar w:fldCharType="separate"/>
    </w:r>
    <w:r w:rsidR="0067466A">
      <w:rPr>
        <w:noProof/>
      </w:rPr>
      <w:t>2</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9222" w14:textId="77777777" w:rsidR="00E04650" w:rsidRDefault="00E04650" w:rsidP="00C31E51">
      <w:r>
        <w:separator/>
      </w:r>
    </w:p>
  </w:footnote>
  <w:footnote w:type="continuationSeparator" w:id="0">
    <w:p w14:paraId="2DE7B250" w14:textId="77777777" w:rsidR="00E04650" w:rsidRDefault="00E04650" w:rsidP="00C31E51">
      <w:r>
        <w:continuationSeparator/>
      </w:r>
    </w:p>
  </w:footnote>
  <w:footnote w:type="continuationNotice" w:id="1">
    <w:p w14:paraId="09FD7337" w14:textId="77777777" w:rsidR="00E04650" w:rsidRDefault="00E04650"/>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67466A"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552A"/>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66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879B3"/>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4CA"/>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4650"/>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0B03"/>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608AB7F8-2591-4C2B-AC7A-187D99E9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64921150">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C694-4532-424E-A5BA-F67974F7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31942</Words>
  <Characters>182074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213589</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2022-12-22T14:12:00Z</dcterms:created>
  <dcterms:modified xsi:type="dcterms:W3CDTF">2022-12-22T14:12:00Z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