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367F37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D3CE4">
        <w:rPr>
          <w:rFonts w:cstheme="minorHAnsi"/>
        </w:rPr>
        <w:t>3</w:t>
      </w:r>
      <w:r w:rsidR="00385FA9">
        <w:rPr>
          <w:rFonts w:cstheme="minorHAnsi"/>
        </w:rPr>
        <w:t>0</w:t>
      </w:r>
      <w:bookmarkStart w:id="0" w:name="_GoBack"/>
      <w:bookmarkEnd w:id="0"/>
      <w:r w:rsidR="00986649" w:rsidRPr="002A6763">
        <w:rPr>
          <w:rFonts w:cstheme="minorHAnsi"/>
        </w:rPr>
        <w:t>.</w:t>
      </w:r>
      <w:r w:rsidR="00C92704">
        <w:rPr>
          <w:rFonts w:cstheme="minorHAnsi"/>
        </w:rPr>
        <w:t>1</w:t>
      </w:r>
      <w:r w:rsidR="007E0516">
        <w:rPr>
          <w:rFonts w:cstheme="minorHAnsi"/>
        </w:rPr>
        <w:t>2</w:t>
      </w:r>
      <w:r w:rsidR="00986649" w:rsidRPr="002A6763">
        <w:rPr>
          <w:rFonts w:cstheme="minorHAnsi"/>
        </w:rPr>
        <w:t>.202</w:t>
      </w:r>
      <w:r w:rsidR="000D78AD">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9565587"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162EFA">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2296C0D8" w:rsidR="007E0516" w:rsidRPr="00DE19DD" w:rsidRDefault="007E0516" w:rsidP="007E0516">
            <w:pPr>
              <w:spacing w:line="276" w:lineRule="auto"/>
              <w:jc w:val="center"/>
              <w:rPr>
                <w:rFonts w:cstheme="minorHAnsi"/>
                <w:lang w:val="en-US"/>
              </w:rPr>
            </w:pPr>
            <w:r>
              <w:rPr>
                <w:rFonts w:ascii="Calibri" w:hAnsi="Calibri" w:cs="Calibri"/>
                <w:color w:val="000000"/>
              </w:rPr>
              <w:t>92,32</w:t>
            </w:r>
          </w:p>
        </w:tc>
      </w:tr>
      <w:tr w:rsidR="007E0516" w:rsidRPr="00DE19DD" w14:paraId="2C4EF1DD" w14:textId="77777777" w:rsidTr="007E0516">
        <w:tc>
          <w:tcPr>
            <w:tcW w:w="6516" w:type="dxa"/>
          </w:tcPr>
          <w:p w14:paraId="4E5C7ABE" w14:textId="709F678D" w:rsidR="007E0516" w:rsidRPr="00DE19DD" w:rsidRDefault="007E0516" w:rsidP="007E0516">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61C824D7" w:rsidR="007E0516" w:rsidRPr="00DE19DD" w:rsidRDefault="007E0516" w:rsidP="007E0516">
            <w:pPr>
              <w:spacing w:line="276" w:lineRule="auto"/>
              <w:jc w:val="center"/>
              <w:rPr>
                <w:rFonts w:cstheme="minorHAnsi"/>
              </w:rPr>
            </w:pPr>
            <w:r>
              <w:rPr>
                <w:rFonts w:ascii="Calibri" w:hAnsi="Calibri" w:cs="Calibri"/>
                <w:color w:val="000000"/>
              </w:rPr>
              <w:t>4,15</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25B22ADB" w:rsidR="007E0516" w:rsidRPr="00DE19DD" w:rsidRDefault="007E0516" w:rsidP="007E0516">
            <w:pPr>
              <w:jc w:val="center"/>
              <w:rPr>
                <w:rFonts w:cstheme="minorHAnsi"/>
              </w:rPr>
            </w:pPr>
            <w:r>
              <w:rPr>
                <w:rFonts w:cstheme="minorHAnsi"/>
              </w:rPr>
              <w:t>1</w:t>
            </w:r>
            <w:r w:rsidRPr="00DE19DD">
              <w:rPr>
                <w:rFonts w:cstheme="minorHAnsi"/>
              </w:rPr>
              <w:t>,</w:t>
            </w:r>
            <w:r>
              <w:rPr>
                <w:rFonts w:cstheme="minorHAnsi"/>
              </w:rPr>
              <w:t>54</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20BE52FE" w:rsidR="007E0516" w:rsidRDefault="007E0516" w:rsidP="007E0516">
            <w:pPr>
              <w:jc w:val="center"/>
              <w:rPr>
                <w:rFonts w:cstheme="minorHAnsi"/>
              </w:rPr>
            </w:pPr>
            <w:r>
              <w:rPr>
                <w:rFonts w:ascii="Calibri" w:hAnsi="Calibri" w:cs="Calibri"/>
                <w:color w:val="000000"/>
              </w:rPr>
              <w:t>1,28</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23774E4C" w:rsidR="007E0516" w:rsidRDefault="007E0516" w:rsidP="007E0516">
            <w:pPr>
              <w:jc w:val="center"/>
              <w:rPr>
                <w:rFonts w:cstheme="minorHAnsi"/>
              </w:rPr>
            </w:pPr>
            <w:r>
              <w:rPr>
                <w:rFonts w:ascii="Calibri" w:hAnsi="Calibri" w:cs="Calibri"/>
                <w:color w:val="000000"/>
              </w:rPr>
              <w:t>0,70</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7E0516">
        <w:tblPrEx>
          <w:tblCellMar>
            <w:left w:w="108" w:type="dxa"/>
            <w:right w:w="108" w:type="dxa"/>
          </w:tblCellMar>
        </w:tblPrEx>
        <w:trPr>
          <w:trHeight w:val="1074"/>
        </w:trPr>
        <w:tc>
          <w:tcPr>
            <w:tcW w:w="4365" w:type="dxa"/>
            <w:vMerge w:val="restart"/>
            <w:vAlign w:val="center"/>
          </w:tcPr>
          <w:p w14:paraId="66CBF915" w14:textId="739AE448" w:rsidR="008D22F9" w:rsidRPr="003B455E" w:rsidRDefault="007E0516" w:rsidP="00526694">
            <w:pPr>
              <w:pStyle w:val="ConsPlusNormal"/>
              <w:jc w:val="center"/>
              <w:rPr>
                <w:rFonts w:asciiTheme="minorHAnsi" w:hAnsiTheme="minorHAnsi" w:cstheme="minorHAnsi"/>
              </w:rPr>
            </w:pPr>
            <w:r>
              <w:rPr>
                <w:noProof/>
              </w:rPr>
              <w:drawing>
                <wp:inline distT="0" distB="0" distL="0" distR="0" wp14:anchorId="1834937F" wp14:editId="640EE939">
                  <wp:extent cx="2634615" cy="23526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11E77D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EC2D33" w:rsidRPr="00C50091" w14:paraId="163F6D42" w14:textId="77777777" w:rsidTr="00283B23">
        <w:tc>
          <w:tcPr>
            <w:tcW w:w="4365" w:type="dxa"/>
            <w:vMerge/>
          </w:tcPr>
          <w:p w14:paraId="439EA073" w14:textId="77777777" w:rsidR="00EC2D33" w:rsidRPr="003B455E" w:rsidRDefault="00EC2D33" w:rsidP="00EC2D33">
            <w:pPr>
              <w:rPr>
                <w:rFonts w:cstheme="minorHAnsi"/>
              </w:rPr>
            </w:pPr>
          </w:p>
        </w:tc>
        <w:tc>
          <w:tcPr>
            <w:tcW w:w="1380" w:type="dxa"/>
            <w:vAlign w:val="bottom"/>
          </w:tcPr>
          <w:p w14:paraId="377E34DE" w14:textId="77777777" w:rsidR="00EC2D33" w:rsidRPr="003B455E" w:rsidRDefault="00EC2D33" w:rsidP="00EC2D33">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5F9E291A" w:rsidR="00EC2D33" w:rsidRPr="003B455E" w:rsidRDefault="00EC2D33" w:rsidP="00EC2D33">
            <w:pPr>
              <w:pStyle w:val="ConsPlusNormal"/>
              <w:rPr>
                <w:rFonts w:asciiTheme="minorHAnsi" w:hAnsiTheme="minorHAnsi" w:cstheme="minorHAnsi"/>
              </w:rPr>
            </w:pPr>
            <w:r>
              <w:rPr>
                <w:color w:val="000000"/>
                <w:szCs w:val="22"/>
              </w:rPr>
              <w:t>0,83%</w:t>
            </w:r>
          </w:p>
        </w:tc>
        <w:tc>
          <w:tcPr>
            <w:tcW w:w="1846" w:type="dxa"/>
            <w:vAlign w:val="bottom"/>
          </w:tcPr>
          <w:p w14:paraId="5DA42905" w14:textId="1EDD7E7B" w:rsidR="00EC2D33" w:rsidRPr="007E0516" w:rsidRDefault="00EC2D33" w:rsidP="00EC2D33">
            <w:pPr>
              <w:pStyle w:val="ConsPlusNormal"/>
              <w:rPr>
                <w:rFonts w:asciiTheme="minorHAnsi" w:hAnsiTheme="minorHAnsi" w:cstheme="minorHAnsi"/>
                <w:highlight w:val="yellow"/>
              </w:rPr>
            </w:pPr>
            <w:r>
              <w:rPr>
                <w:color w:val="000000"/>
                <w:szCs w:val="22"/>
              </w:rPr>
              <w:t>0,05%</w:t>
            </w:r>
          </w:p>
        </w:tc>
      </w:tr>
      <w:tr w:rsidR="00EC2D33" w:rsidRPr="00C50091" w14:paraId="734DB2DE" w14:textId="77777777" w:rsidTr="00283B23">
        <w:tc>
          <w:tcPr>
            <w:tcW w:w="4365" w:type="dxa"/>
            <w:vMerge/>
          </w:tcPr>
          <w:p w14:paraId="1A4F3314" w14:textId="77777777" w:rsidR="00EC2D33" w:rsidRPr="003B455E" w:rsidRDefault="00EC2D33" w:rsidP="00EC2D33">
            <w:pPr>
              <w:rPr>
                <w:rFonts w:cstheme="minorHAnsi"/>
              </w:rPr>
            </w:pPr>
          </w:p>
        </w:tc>
        <w:tc>
          <w:tcPr>
            <w:tcW w:w="1380" w:type="dxa"/>
            <w:vAlign w:val="bottom"/>
          </w:tcPr>
          <w:p w14:paraId="6B673F49" w14:textId="77777777" w:rsidR="00EC2D33" w:rsidRPr="003B455E" w:rsidRDefault="00EC2D33" w:rsidP="00EC2D33">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5C72E540" w:rsidR="00EC2D33" w:rsidRPr="003B455E" w:rsidRDefault="00EC2D33" w:rsidP="00EC2D33">
            <w:pPr>
              <w:pStyle w:val="ConsPlusNormal"/>
              <w:rPr>
                <w:rFonts w:asciiTheme="minorHAnsi" w:hAnsiTheme="minorHAnsi" w:cstheme="minorHAnsi"/>
              </w:rPr>
            </w:pPr>
            <w:r>
              <w:rPr>
                <w:color w:val="000000"/>
                <w:szCs w:val="22"/>
              </w:rPr>
              <w:t>2,43%</w:t>
            </w:r>
          </w:p>
        </w:tc>
        <w:tc>
          <w:tcPr>
            <w:tcW w:w="1846" w:type="dxa"/>
            <w:vAlign w:val="bottom"/>
          </w:tcPr>
          <w:p w14:paraId="0A9EC4F7" w14:textId="585C3E91" w:rsidR="00EC2D33" w:rsidRPr="007E0516" w:rsidRDefault="00EC2D33" w:rsidP="00EC2D33">
            <w:pPr>
              <w:pStyle w:val="ConsPlusNormal"/>
              <w:rPr>
                <w:rFonts w:asciiTheme="minorHAnsi" w:hAnsiTheme="minorHAnsi" w:cstheme="minorHAnsi"/>
                <w:highlight w:val="yellow"/>
              </w:rPr>
            </w:pPr>
            <w:r>
              <w:rPr>
                <w:color w:val="000000"/>
                <w:szCs w:val="22"/>
              </w:rPr>
              <w:t>1,10%</w:t>
            </w:r>
          </w:p>
        </w:tc>
      </w:tr>
      <w:tr w:rsidR="00EC2D33" w:rsidRPr="00C50091" w14:paraId="2D189623" w14:textId="77777777" w:rsidTr="00283B23">
        <w:tc>
          <w:tcPr>
            <w:tcW w:w="4365" w:type="dxa"/>
            <w:vMerge/>
          </w:tcPr>
          <w:p w14:paraId="06D3E770" w14:textId="77777777" w:rsidR="00EC2D33" w:rsidRPr="003B455E" w:rsidRDefault="00EC2D33" w:rsidP="00EC2D33">
            <w:pPr>
              <w:rPr>
                <w:rFonts w:cstheme="minorHAnsi"/>
              </w:rPr>
            </w:pPr>
          </w:p>
        </w:tc>
        <w:tc>
          <w:tcPr>
            <w:tcW w:w="1380" w:type="dxa"/>
            <w:vAlign w:val="bottom"/>
          </w:tcPr>
          <w:p w14:paraId="0A625FAD" w14:textId="77777777" w:rsidR="00EC2D33" w:rsidRPr="003B455E" w:rsidRDefault="00EC2D33" w:rsidP="00EC2D33">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0AC88398" w:rsidR="00EC2D33" w:rsidRPr="003B455E" w:rsidRDefault="00EC2D33" w:rsidP="00EC2D33">
            <w:pPr>
              <w:pStyle w:val="ConsPlusNormal"/>
              <w:rPr>
                <w:rFonts w:asciiTheme="minorHAnsi" w:hAnsiTheme="minorHAnsi" w:cstheme="minorHAnsi"/>
              </w:rPr>
            </w:pPr>
            <w:r>
              <w:rPr>
                <w:color w:val="000000"/>
                <w:szCs w:val="22"/>
              </w:rPr>
              <w:t>10,25%</w:t>
            </w:r>
          </w:p>
        </w:tc>
        <w:tc>
          <w:tcPr>
            <w:tcW w:w="1846" w:type="dxa"/>
            <w:vAlign w:val="bottom"/>
          </w:tcPr>
          <w:p w14:paraId="5A1631C8" w14:textId="54C9CC66" w:rsidR="00EC2D33" w:rsidRPr="007E0516" w:rsidRDefault="00EC2D33" w:rsidP="00EC2D33">
            <w:pPr>
              <w:pStyle w:val="ConsPlusNormal"/>
              <w:rPr>
                <w:rFonts w:asciiTheme="minorHAnsi" w:hAnsiTheme="minorHAnsi" w:cstheme="minorHAnsi"/>
                <w:highlight w:val="yellow"/>
              </w:rPr>
            </w:pPr>
            <w:r>
              <w:rPr>
                <w:color w:val="000000"/>
                <w:szCs w:val="22"/>
              </w:rPr>
              <w:t>9,78%</w:t>
            </w:r>
          </w:p>
        </w:tc>
      </w:tr>
      <w:tr w:rsidR="00EC2D33" w:rsidRPr="00C50091" w14:paraId="00022598" w14:textId="77777777" w:rsidTr="005E1535">
        <w:tc>
          <w:tcPr>
            <w:tcW w:w="4365" w:type="dxa"/>
            <w:vMerge/>
          </w:tcPr>
          <w:p w14:paraId="23447C1B" w14:textId="77777777" w:rsidR="00EC2D33" w:rsidRPr="003B455E" w:rsidRDefault="00EC2D33" w:rsidP="00EC2D33">
            <w:pPr>
              <w:rPr>
                <w:rFonts w:cstheme="minorHAnsi"/>
              </w:rPr>
            </w:pPr>
          </w:p>
        </w:tc>
        <w:tc>
          <w:tcPr>
            <w:tcW w:w="1380" w:type="dxa"/>
            <w:vAlign w:val="bottom"/>
          </w:tcPr>
          <w:p w14:paraId="1559E4EA" w14:textId="77777777" w:rsidR="00EC2D33" w:rsidRPr="003B455E" w:rsidRDefault="00EC2D33" w:rsidP="00EC2D33">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760AE554" w:rsidR="00EC2D33" w:rsidRPr="003B455E" w:rsidRDefault="00EC2D33" w:rsidP="00EC2D33">
            <w:pPr>
              <w:pStyle w:val="ConsPlusNormal"/>
              <w:rPr>
                <w:rFonts w:asciiTheme="minorHAnsi" w:hAnsiTheme="minorHAnsi" w:cstheme="minorHAnsi"/>
              </w:rPr>
            </w:pPr>
            <w:r>
              <w:rPr>
                <w:color w:val="000000"/>
                <w:szCs w:val="22"/>
              </w:rPr>
              <w:t>20,06%</w:t>
            </w:r>
          </w:p>
        </w:tc>
        <w:tc>
          <w:tcPr>
            <w:tcW w:w="1846" w:type="dxa"/>
            <w:vAlign w:val="bottom"/>
          </w:tcPr>
          <w:p w14:paraId="4EF284CC" w14:textId="6723FEF6" w:rsidR="00EC2D33" w:rsidRPr="007E0516" w:rsidRDefault="00EC2D33" w:rsidP="00EC2D33">
            <w:pPr>
              <w:pStyle w:val="ConsPlusNormal"/>
              <w:rPr>
                <w:color w:val="000000"/>
                <w:szCs w:val="22"/>
                <w:highlight w:val="yellow"/>
              </w:rPr>
            </w:pPr>
            <w:r>
              <w:rPr>
                <w:color w:val="000000"/>
                <w:szCs w:val="22"/>
              </w:rPr>
              <w:t>8,12%</w:t>
            </w:r>
          </w:p>
        </w:tc>
      </w:tr>
      <w:tr w:rsidR="00EC2D33" w:rsidRPr="00C50091" w14:paraId="61586E32" w14:textId="77777777" w:rsidTr="001167F8">
        <w:tc>
          <w:tcPr>
            <w:tcW w:w="4365" w:type="dxa"/>
            <w:vMerge/>
          </w:tcPr>
          <w:p w14:paraId="6D68E732" w14:textId="77777777" w:rsidR="00EC2D33" w:rsidRPr="003B455E" w:rsidRDefault="00EC2D33" w:rsidP="00EC2D33">
            <w:pPr>
              <w:rPr>
                <w:rFonts w:cstheme="minorHAnsi"/>
              </w:rPr>
            </w:pPr>
          </w:p>
        </w:tc>
        <w:tc>
          <w:tcPr>
            <w:tcW w:w="1380" w:type="dxa"/>
            <w:vAlign w:val="bottom"/>
          </w:tcPr>
          <w:p w14:paraId="6C7A6518" w14:textId="77777777" w:rsidR="00EC2D33" w:rsidRPr="003B455E" w:rsidRDefault="00EC2D33" w:rsidP="00EC2D33">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51ECAB52" w:rsidR="00EC2D33" w:rsidRPr="003B455E" w:rsidRDefault="00EC2D33" w:rsidP="00EC2D33">
            <w:pPr>
              <w:pStyle w:val="ConsPlusNormal"/>
              <w:rPr>
                <w:rFonts w:asciiTheme="minorHAnsi" w:hAnsiTheme="minorHAnsi" w:cstheme="minorHAnsi"/>
              </w:rPr>
            </w:pPr>
            <w:r>
              <w:rPr>
                <w:color w:val="000000"/>
                <w:szCs w:val="22"/>
              </w:rPr>
              <w:t>49,31%</w:t>
            </w:r>
          </w:p>
        </w:tc>
        <w:tc>
          <w:tcPr>
            <w:tcW w:w="1846" w:type="dxa"/>
            <w:vAlign w:val="bottom"/>
          </w:tcPr>
          <w:p w14:paraId="4946C1EE" w14:textId="6E24DFC4" w:rsidR="00EC2D33" w:rsidRPr="007E0516" w:rsidRDefault="00EC2D33" w:rsidP="00EC2D33">
            <w:pPr>
              <w:pStyle w:val="ConsPlusNormal"/>
              <w:rPr>
                <w:rFonts w:asciiTheme="minorHAnsi" w:hAnsiTheme="minorHAnsi" w:cstheme="minorHAnsi"/>
                <w:highlight w:val="yellow"/>
              </w:rPr>
            </w:pPr>
            <w:r>
              <w:rPr>
                <w:color w:val="000000"/>
                <w:szCs w:val="22"/>
              </w:rPr>
              <w:t>24,07%</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3B455E" w:rsidRDefault="00EC2D33" w:rsidP="00EC2D3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740CA955" w:rsidR="00EC2D33" w:rsidRPr="003B455E" w:rsidRDefault="00EC2D33" w:rsidP="00EC2D33">
            <w:pPr>
              <w:pStyle w:val="ConsPlusNormal"/>
              <w:rPr>
                <w:rFonts w:asciiTheme="minorHAnsi" w:hAnsiTheme="minorHAnsi" w:cstheme="minorHAnsi"/>
              </w:rPr>
            </w:pPr>
            <w:r>
              <w:rPr>
                <w:color w:val="000000"/>
                <w:szCs w:val="22"/>
              </w:rPr>
              <w:t>-</w:t>
            </w:r>
          </w:p>
        </w:tc>
        <w:tc>
          <w:tcPr>
            <w:tcW w:w="1846" w:type="dxa"/>
            <w:vAlign w:val="bottom"/>
          </w:tcPr>
          <w:p w14:paraId="529BB3CB" w14:textId="4BAD4E86" w:rsidR="00EC2D33" w:rsidRPr="007E0516" w:rsidRDefault="00EC2D33" w:rsidP="00EC2D33">
            <w:pPr>
              <w:pStyle w:val="ConsPlusNormal"/>
              <w:rPr>
                <w:rFonts w:asciiTheme="minorHAnsi" w:hAnsiTheme="minorHAnsi" w:cstheme="minorHAnsi"/>
                <w:highlight w:val="yellow"/>
              </w:rPr>
            </w:pPr>
            <w:r>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3EA28B01" w:rsidR="007A0DCF" w:rsidRPr="00C50091" w:rsidRDefault="007E4067" w:rsidP="003319D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319D5" w:rsidRPr="003319D5">
        <w:rPr>
          <w:rFonts w:cstheme="minorHAnsi"/>
        </w:rPr>
        <w:t>27</w:t>
      </w:r>
      <w:r w:rsidR="007E0516">
        <w:rPr>
          <w:rFonts w:cstheme="minorHAnsi"/>
        </w:rPr>
        <w:t>0</w:t>
      </w:r>
      <w:r w:rsidR="003319D5">
        <w:rPr>
          <w:rFonts w:cstheme="minorHAnsi"/>
        </w:rPr>
        <w:t xml:space="preserve"> </w:t>
      </w:r>
      <w:r w:rsidR="007E0516">
        <w:rPr>
          <w:rFonts w:cstheme="minorHAnsi"/>
        </w:rPr>
        <w:t>899</w:t>
      </w:r>
      <w:r w:rsidR="003319D5" w:rsidRPr="003319D5">
        <w:rPr>
          <w:rFonts w:cstheme="minorHAnsi"/>
        </w:rPr>
        <w:t>,</w:t>
      </w:r>
      <w:r w:rsidR="007E0516">
        <w:rPr>
          <w:rFonts w:cstheme="minorHAnsi"/>
        </w:rPr>
        <w:t>45</w:t>
      </w:r>
      <w:r w:rsidR="003319D5">
        <w:rPr>
          <w:rFonts w:cstheme="minorHAnsi"/>
        </w:rPr>
        <w:t xml:space="preserve"> </w:t>
      </w:r>
      <w:r w:rsidRPr="00C50091">
        <w:rPr>
          <w:rFonts w:cstheme="minorHAnsi"/>
        </w:rPr>
        <w:t>рублей.</w:t>
      </w:r>
    </w:p>
    <w:p w14:paraId="59CB4D01" w14:textId="48F21AB7" w:rsidR="007F4701" w:rsidRPr="007F4701" w:rsidRDefault="007A0DCF" w:rsidP="003319D5">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3319D5" w:rsidRPr="003319D5">
        <w:rPr>
          <w:rFonts w:cstheme="minorHAnsi"/>
        </w:rPr>
        <w:t>51</w:t>
      </w:r>
      <w:r w:rsidR="007E0516">
        <w:rPr>
          <w:rFonts w:cstheme="minorHAnsi"/>
        </w:rPr>
        <w:t>4</w:t>
      </w:r>
      <w:r w:rsidR="003319D5">
        <w:rPr>
          <w:rFonts w:cstheme="minorHAnsi"/>
        </w:rPr>
        <w:t xml:space="preserve"> </w:t>
      </w:r>
      <w:r w:rsidR="007E0516">
        <w:rPr>
          <w:rFonts w:cstheme="minorHAnsi"/>
        </w:rPr>
        <w:t>708</w:t>
      </w:r>
      <w:r w:rsidR="003319D5">
        <w:rPr>
          <w:rFonts w:cstheme="minorHAnsi"/>
        </w:rPr>
        <w:t xml:space="preserve"> </w:t>
      </w:r>
      <w:r w:rsidR="007E0516">
        <w:rPr>
          <w:rFonts w:cstheme="minorHAnsi"/>
        </w:rPr>
        <w:t>962</w:t>
      </w:r>
      <w:r w:rsidR="003319D5" w:rsidRPr="003319D5">
        <w:rPr>
          <w:rFonts w:cstheme="minorHAnsi"/>
        </w:rPr>
        <w:t>,</w:t>
      </w:r>
      <w:r w:rsidR="007E0516">
        <w:rPr>
          <w:rFonts w:cstheme="minorHAnsi"/>
        </w:rPr>
        <w:t>27</w:t>
      </w:r>
      <w:r w:rsidR="003319D5">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B0957"/>
    <w:rsid w:val="000C2A9D"/>
    <w:rsid w:val="000D78AD"/>
    <w:rsid w:val="000F7446"/>
    <w:rsid w:val="00102B2B"/>
    <w:rsid w:val="00162EFA"/>
    <w:rsid w:val="001743E3"/>
    <w:rsid w:val="0017697B"/>
    <w:rsid w:val="001858EA"/>
    <w:rsid w:val="0018722E"/>
    <w:rsid w:val="001F0100"/>
    <w:rsid w:val="001F3FB3"/>
    <w:rsid w:val="00203F94"/>
    <w:rsid w:val="00232119"/>
    <w:rsid w:val="002A6763"/>
    <w:rsid w:val="002D55EF"/>
    <w:rsid w:val="002D720E"/>
    <w:rsid w:val="002E02FF"/>
    <w:rsid w:val="002F4D15"/>
    <w:rsid w:val="003319D5"/>
    <w:rsid w:val="003358F0"/>
    <w:rsid w:val="00374E3A"/>
    <w:rsid w:val="00375686"/>
    <w:rsid w:val="003834DB"/>
    <w:rsid w:val="00385FA9"/>
    <w:rsid w:val="00391D3A"/>
    <w:rsid w:val="003A7C08"/>
    <w:rsid w:val="003B455E"/>
    <w:rsid w:val="003D56F7"/>
    <w:rsid w:val="003F6D2F"/>
    <w:rsid w:val="004154CB"/>
    <w:rsid w:val="004C5035"/>
    <w:rsid w:val="004D02F5"/>
    <w:rsid w:val="004F6824"/>
    <w:rsid w:val="005953EA"/>
    <w:rsid w:val="005D3C78"/>
    <w:rsid w:val="005E2EAC"/>
    <w:rsid w:val="006342CC"/>
    <w:rsid w:val="00656118"/>
    <w:rsid w:val="006C15EF"/>
    <w:rsid w:val="006D3CE4"/>
    <w:rsid w:val="006F317C"/>
    <w:rsid w:val="00701135"/>
    <w:rsid w:val="007A0DCF"/>
    <w:rsid w:val="007E0516"/>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F96"/>
    <w:rsid w:val="0098657F"/>
    <w:rsid w:val="00986649"/>
    <w:rsid w:val="0099110E"/>
    <w:rsid w:val="009D20F1"/>
    <w:rsid w:val="009D5F29"/>
    <w:rsid w:val="00A240BD"/>
    <w:rsid w:val="00A34267"/>
    <w:rsid w:val="00A81056"/>
    <w:rsid w:val="00A90490"/>
    <w:rsid w:val="00AA1555"/>
    <w:rsid w:val="00AB030D"/>
    <w:rsid w:val="00AD2AFD"/>
    <w:rsid w:val="00AF0868"/>
    <w:rsid w:val="00B423DC"/>
    <w:rsid w:val="00B54044"/>
    <w:rsid w:val="00B54989"/>
    <w:rsid w:val="00B61C41"/>
    <w:rsid w:val="00B83893"/>
    <w:rsid w:val="00B871E0"/>
    <w:rsid w:val="00C164AF"/>
    <w:rsid w:val="00C35478"/>
    <w:rsid w:val="00C45B63"/>
    <w:rsid w:val="00C50091"/>
    <w:rsid w:val="00C75DF9"/>
    <w:rsid w:val="00C84B56"/>
    <w:rsid w:val="00C92704"/>
    <w:rsid w:val="00CF0234"/>
    <w:rsid w:val="00DA0098"/>
    <w:rsid w:val="00DD5572"/>
    <w:rsid w:val="00DE19DD"/>
    <w:rsid w:val="00E0632F"/>
    <w:rsid w:val="00E4575A"/>
    <w:rsid w:val="00E52643"/>
    <w:rsid w:val="00E60D58"/>
    <w:rsid w:val="00E66B06"/>
    <w:rsid w:val="00E72DD2"/>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8B3-40C7-B59C-8AAA6EC5D1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0.20060112572490307</c:v>
                </c:pt>
                <c:pt idx="1">
                  <c:v>0.27137890095196149</c:v>
                </c:pt>
                <c:pt idx="2">
                  <c:v>8.6874533308919366E-2</c:v>
                </c:pt>
                <c:pt idx="3">
                  <c:v>-5.5642419763355287E-2</c:v>
                </c:pt>
                <c:pt idx="4">
                  <c:v>0</c:v>
                </c:pt>
              </c:numCache>
            </c:numRef>
          </c:val>
          <c:extLst>
            <c:ext xmlns:c16="http://schemas.microsoft.com/office/drawing/2014/chart" uri="{C3380CC4-5D6E-409C-BE32-E72D297353CC}">
              <c16:uniqueId val="{00000001-08B3-40C7-B59C-8AAA6EC5D1F6}"/>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1246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33</cp:revision>
  <cp:lastPrinted>2021-09-07T11:44:00Z</cp:lastPrinted>
  <dcterms:created xsi:type="dcterms:W3CDTF">2021-10-05T10:09:00Z</dcterms:created>
  <dcterms:modified xsi:type="dcterms:W3CDTF">2023-01-16T13:49:00Z</dcterms:modified>
</cp:coreProperties>
</file>