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F04844F"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E0A54" w:rsidRPr="006E0A54">
        <w:rPr>
          <w:rFonts w:cstheme="minorHAnsi"/>
        </w:rPr>
        <w:t>3</w:t>
      </w:r>
      <w:r w:rsidR="00EB78B5" w:rsidRPr="00EB78B5">
        <w:rPr>
          <w:rFonts w:cstheme="minorHAnsi"/>
        </w:rPr>
        <w:t>1</w:t>
      </w:r>
      <w:r w:rsidR="00986649" w:rsidRPr="002A6763">
        <w:rPr>
          <w:rFonts w:cstheme="minorHAnsi"/>
        </w:rPr>
        <w:t>.</w:t>
      </w:r>
      <w:r w:rsidR="00EB78B5" w:rsidRPr="00EB78B5">
        <w:rPr>
          <w:rFonts w:cstheme="minorHAnsi"/>
        </w:rPr>
        <w:t>01</w:t>
      </w:r>
      <w:r w:rsidR="00986649" w:rsidRPr="002A6763">
        <w:rPr>
          <w:rFonts w:cstheme="minorHAnsi"/>
        </w:rPr>
        <w:t>.202</w:t>
      </w:r>
      <w:r w:rsidR="00EB78B5" w:rsidRPr="00EB78B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275B30BA" w:rsidR="00634487" w:rsidRPr="00EB78B5" w:rsidRDefault="00634487" w:rsidP="00EB78B5">
            <w:pPr>
              <w:spacing w:line="276" w:lineRule="auto"/>
              <w:jc w:val="center"/>
              <w:rPr>
                <w:rFonts w:cstheme="minorHAnsi"/>
                <w:lang w:val="en-US"/>
              </w:rPr>
            </w:pPr>
            <w:r>
              <w:rPr>
                <w:rFonts w:cstheme="minorHAnsi"/>
              </w:rPr>
              <w:t>9</w:t>
            </w:r>
            <w:r w:rsidR="00F0144F">
              <w:rPr>
                <w:rFonts w:cstheme="minorHAnsi"/>
              </w:rPr>
              <w:t>6</w:t>
            </w:r>
            <w:r>
              <w:rPr>
                <w:rFonts w:cstheme="minorHAnsi"/>
              </w:rPr>
              <w:t>,</w:t>
            </w:r>
            <w:r w:rsidR="00EB78B5">
              <w:rPr>
                <w:rFonts w:cstheme="minorHAnsi"/>
                <w:lang w:val="en-US"/>
              </w:rPr>
              <w:t>54</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7CBA0B28" w:rsidR="00DD12D0" w:rsidRPr="00095B09" w:rsidRDefault="00DD12D0" w:rsidP="00EB78B5">
            <w:pPr>
              <w:spacing w:line="276" w:lineRule="auto"/>
              <w:jc w:val="center"/>
              <w:rPr>
                <w:rFonts w:cstheme="minorHAnsi"/>
              </w:rPr>
            </w:pPr>
            <w:r>
              <w:rPr>
                <w:rFonts w:cstheme="minorHAnsi"/>
              </w:rPr>
              <w:t>1,</w:t>
            </w:r>
            <w:r w:rsidR="00EB78B5">
              <w:rPr>
                <w:rFonts w:cstheme="minorHAnsi"/>
                <w:lang w:val="en-US"/>
              </w:rPr>
              <w:t>80</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3D73E3CF" w:rsidR="00095B09" w:rsidRPr="00EB78B5" w:rsidRDefault="00F0144F" w:rsidP="00EB78B5">
            <w:pPr>
              <w:spacing w:line="276" w:lineRule="auto"/>
              <w:jc w:val="center"/>
              <w:rPr>
                <w:rFonts w:cstheme="minorHAnsi"/>
                <w:lang w:val="en-US"/>
              </w:rPr>
            </w:pPr>
            <w:r>
              <w:rPr>
                <w:rFonts w:cstheme="minorHAnsi"/>
              </w:rPr>
              <w:t>1</w:t>
            </w:r>
            <w:r w:rsidR="00095B09">
              <w:rPr>
                <w:rFonts w:cstheme="minorHAnsi"/>
              </w:rPr>
              <w:t>,</w:t>
            </w:r>
            <w:r w:rsidR="00185541">
              <w:rPr>
                <w:rFonts w:cstheme="minorHAnsi"/>
              </w:rPr>
              <w:t>2</w:t>
            </w:r>
            <w:r w:rsidR="00EB78B5">
              <w:rPr>
                <w:rFonts w:cstheme="minorHAnsi"/>
                <w:lang w:val="en-US"/>
              </w:rPr>
              <w:t>4</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2859330F" w:rsidR="00095B09" w:rsidRPr="00EB78B5" w:rsidRDefault="00095B09" w:rsidP="00EB78B5">
            <w:pPr>
              <w:spacing w:line="276" w:lineRule="auto"/>
              <w:jc w:val="center"/>
              <w:rPr>
                <w:rFonts w:cstheme="minorHAnsi"/>
                <w:lang w:val="en-US"/>
              </w:rPr>
            </w:pPr>
            <w:r>
              <w:rPr>
                <w:rFonts w:cstheme="minorHAnsi"/>
              </w:rPr>
              <w:t>0,</w:t>
            </w:r>
            <w:r w:rsidR="00366797">
              <w:rPr>
                <w:rFonts w:cstheme="minorHAnsi"/>
              </w:rPr>
              <w:t>4</w:t>
            </w:r>
            <w:r w:rsidR="00EB78B5">
              <w:rPr>
                <w:rFonts w:cstheme="minorHAnsi"/>
                <w:lang w:val="en-US"/>
              </w:rPr>
              <w:t>2</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CA1DFB">
        <w:rPr>
          <w:rFonts w:cstheme="minorHAnsi"/>
          <w:b/>
        </w:rPr>
        <w:t>Раздел 5</w:t>
      </w:r>
      <w:r w:rsidRPr="00CA1DFB">
        <w:rPr>
          <w:rFonts w:cstheme="minorHAnsi"/>
        </w:rPr>
        <w:t xml:space="preserve">. </w:t>
      </w:r>
      <w:r w:rsidR="0099110E" w:rsidRPr="00CA1DFB">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802108">
            <w:pPr>
              <w:pStyle w:val="ConsPlusNormal"/>
              <w:ind w:left="283"/>
              <w:rPr>
                <w:rFonts w:asciiTheme="minorHAnsi" w:hAnsiTheme="minorHAnsi" w:cstheme="minorHAnsi"/>
              </w:rPr>
            </w:pPr>
            <w:r w:rsidRPr="003B455E">
              <w:rPr>
                <w:rFonts w:asciiTheme="minorHAnsi" w:hAnsiTheme="minorHAnsi" w:cstheme="minorHAnsi"/>
              </w:rPr>
              <w:t>Доходность за период, %</w:t>
            </w:r>
          </w:p>
        </w:tc>
      </w:tr>
      <w:tr w:rsidR="00634487" w:rsidRPr="00C50091" w14:paraId="277DA56E" w14:textId="77777777" w:rsidTr="00B46757">
        <w:tblPrEx>
          <w:tblCellMar>
            <w:left w:w="108" w:type="dxa"/>
            <w:right w:w="108" w:type="dxa"/>
          </w:tblCellMar>
        </w:tblPrEx>
        <w:trPr>
          <w:trHeight w:val="1074"/>
        </w:trPr>
        <w:tc>
          <w:tcPr>
            <w:tcW w:w="4365" w:type="dxa"/>
            <w:vMerge w:val="restart"/>
            <w:vAlign w:val="center"/>
          </w:tcPr>
          <w:p w14:paraId="66CBF915" w14:textId="0FC37237" w:rsidR="00634487" w:rsidRPr="003B455E" w:rsidRDefault="00B46757" w:rsidP="00634487">
            <w:pPr>
              <w:pStyle w:val="ConsPlusNormal"/>
              <w:jc w:val="center"/>
              <w:rPr>
                <w:rFonts w:asciiTheme="minorHAnsi" w:hAnsiTheme="minorHAnsi" w:cstheme="minorHAnsi"/>
              </w:rPr>
            </w:pPr>
            <w:r>
              <w:rPr>
                <w:noProof/>
              </w:rPr>
              <w:drawing>
                <wp:inline distT="0" distB="0" distL="0" distR="0" wp14:anchorId="58015B88" wp14:editId="0BD5C62C">
                  <wp:extent cx="2634615" cy="2514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Период</w:t>
            </w:r>
          </w:p>
        </w:tc>
        <w:tc>
          <w:tcPr>
            <w:tcW w:w="1480" w:type="dxa"/>
            <w:vAlign w:val="center"/>
          </w:tcPr>
          <w:p w14:paraId="016BA743" w14:textId="77777777" w:rsidR="00634487" w:rsidRPr="00802108" w:rsidRDefault="00634487" w:rsidP="00802108">
            <w:pPr>
              <w:spacing w:line="234" w:lineRule="exact"/>
              <w:rPr>
                <w:rFonts w:eastAsia="Times New Roman" w:cstheme="minorHAnsi"/>
                <w:szCs w:val="20"/>
                <w:lang w:eastAsia="ru-RU"/>
              </w:rPr>
            </w:pPr>
            <w:r w:rsidRPr="00802108">
              <w:rPr>
                <w:rFonts w:eastAsia="Times New Roman" w:cstheme="minorHAnsi"/>
                <w:szCs w:val="20"/>
              </w:rPr>
              <w:t>Доходность</w:t>
            </w:r>
          </w:p>
          <w:p w14:paraId="665073E8" w14:textId="19FC7961" w:rsidR="00634487" w:rsidRPr="003B455E" w:rsidRDefault="00634487" w:rsidP="00802108">
            <w:pPr>
              <w:pStyle w:val="ConsPlusNormal"/>
              <w:rPr>
                <w:rFonts w:asciiTheme="minorHAnsi" w:hAnsiTheme="minorHAnsi" w:cstheme="minorHAnsi"/>
              </w:rPr>
            </w:pPr>
            <w:r w:rsidRPr="00802108">
              <w:rPr>
                <w:rFonts w:asciiTheme="minorHAnsi" w:hAnsiTheme="minorHAnsi" w:cstheme="minorHAnsi"/>
              </w:rPr>
              <w:t>инвестиций</w:t>
            </w:r>
          </w:p>
        </w:tc>
        <w:tc>
          <w:tcPr>
            <w:tcW w:w="1846" w:type="dxa"/>
            <w:vAlign w:val="center"/>
          </w:tcPr>
          <w:p w14:paraId="67EF249F" w14:textId="5C5CD78E" w:rsidR="00EB78B5" w:rsidRDefault="00634487" w:rsidP="00EB78B5">
            <w:pPr>
              <w:pStyle w:val="ConsPlusNormal"/>
              <w:ind w:left="283"/>
              <w:rPr>
                <w:rFonts w:asciiTheme="minorHAnsi" w:hAnsiTheme="minorHAnsi" w:cstheme="minorHAnsi"/>
              </w:rPr>
            </w:pPr>
            <w:r w:rsidRPr="00802108">
              <w:rPr>
                <w:rFonts w:asciiTheme="minorHAnsi" w:hAnsiTheme="minorHAnsi" w:cstheme="minorHAnsi"/>
              </w:rPr>
              <w:t>Отклонение доходности от инфляции</w:t>
            </w:r>
            <w:r w:rsidR="00EB78B5">
              <w:rPr>
                <w:rFonts w:asciiTheme="minorHAnsi" w:hAnsiTheme="minorHAnsi" w:cstheme="minorHAnsi"/>
              </w:rPr>
              <w:t>*</w:t>
            </w:r>
          </w:p>
          <w:p w14:paraId="377B7C46" w14:textId="72D05C62" w:rsidR="00EB78B5" w:rsidRPr="00EB78B5" w:rsidRDefault="00EB78B5" w:rsidP="00AA77A0">
            <w:pPr>
              <w:pStyle w:val="ConsPlusNormal"/>
              <w:ind w:left="283"/>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sidR="00AA77A0">
              <w:rPr>
                <w:rFonts w:asciiTheme="minorHAnsi" w:hAnsiTheme="minorHAnsi" w:cstheme="minorHAnsi"/>
                <w:sz w:val="12"/>
                <w:szCs w:val="12"/>
              </w:rPr>
              <w:t xml:space="preserve">данные </w:t>
            </w:r>
            <w:r w:rsidRPr="00EB78B5">
              <w:rPr>
                <w:rFonts w:asciiTheme="minorHAnsi" w:hAnsiTheme="minorHAnsi" w:cstheme="minorHAnsi"/>
                <w:sz w:val="12"/>
                <w:szCs w:val="12"/>
              </w:rPr>
              <w:t>за декабрь 2022)</w:t>
            </w:r>
          </w:p>
        </w:tc>
      </w:tr>
      <w:tr w:rsidR="00AA77A0" w:rsidRPr="00C50091" w14:paraId="163F6D42" w14:textId="77777777" w:rsidTr="002C3C03">
        <w:tc>
          <w:tcPr>
            <w:tcW w:w="4365" w:type="dxa"/>
            <w:vMerge/>
          </w:tcPr>
          <w:p w14:paraId="439EA073" w14:textId="77777777" w:rsidR="00AA77A0" w:rsidRPr="003B455E" w:rsidRDefault="00AA77A0" w:rsidP="00AA77A0">
            <w:pPr>
              <w:rPr>
                <w:rFonts w:cstheme="minorHAnsi"/>
              </w:rPr>
            </w:pPr>
          </w:p>
        </w:tc>
        <w:tc>
          <w:tcPr>
            <w:tcW w:w="1380" w:type="dxa"/>
            <w:vAlign w:val="center"/>
          </w:tcPr>
          <w:p w14:paraId="377E34DE" w14:textId="58446317" w:rsidR="00AA77A0" w:rsidRPr="003B455E" w:rsidRDefault="00AA77A0" w:rsidP="00AA77A0">
            <w:pPr>
              <w:pStyle w:val="ConsPlusNormal"/>
              <w:ind w:left="283"/>
              <w:rPr>
                <w:rFonts w:asciiTheme="minorHAnsi" w:hAnsiTheme="minorHAnsi" w:cstheme="minorHAnsi"/>
              </w:rPr>
            </w:pPr>
            <w:r w:rsidRPr="00802108">
              <w:rPr>
                <w:rFonts w:asciiTheme="minorHAnsi" w:hAnsiTheme="minorHAnsi" w:cstheme="minorHAnsi"/>
              </w:rPr>
              <w:t>1 месяц</w:t>
            </w:r>
          </w:p>
        </w:tc>
        <w:tc>
          <w:tcPr>
            <w:tcW w:w="1480" w:type="dxa"/>
            <w:vAlign w:val="bottom"/>
          </w:tcPr>
          <w:p w14:paraId="7FBF015C" w14:textId="6E34C701" w:rsidR="00AA77A0" w:rsidRPr="003B455E" w:rsidRDefault="00AA77A0" w:rsidP="00AA77A0">
            <w:pPr>
              <w:pStyle w:val="ConsPlusNormal"/>
              <w:rPr>
                <w:rFonts w:asciiTheme="minorHAnsi" w:hAnsiTheme="minorHAnsi" w:cstheme="minorHAnsi"/>
              </w:rPr>
            </w:pPr>
            <w:r>
              <w:rPr>
                <w:color w:val="000000"/>
                <w:szCs w:val="22"/>
              </w:rPr>
              <w:t>2,27%</w:t>
            </w:r>
          </w:p>
        </w:tc>
        <w:tc>
          <w:tcPr>
            <w:tcW w:w="1846" w:type="dxa"/>
            <w:vAlign w:val="bottom"/>
          </w:tcPr>
          <w:p w14:paraId="5DA42905" w14:textId="5DA463C0" w:rsidR="00AA77A0" w:rsidRPr="00366797" w:rsidRDefault="00AA77A0" w:rsidP="00AA77A0">
            <w:pPr>
              <w:pStyle w:val="ConsPlusNormal"/>
              <w:rPr>
                <w:rFonts w:asciiTheme="minorHAnsi" w:hAnsiTheme="minorHAnsi" w:cstheme="minorHAnsi"/>
                <w:highlight w:val="yellow"/>
              </w:rPr>
            </w:pPr>
            <w:r>
              <w:rPr>
                <w:color w:val="000000"/>
                <w:szCs w:val="22"/>
              </w:rPr>
              <w:t>1,49%</w:t>
            </w:r>
          </w:p>
        </w:tc>
      </w:tr>
      <w:tr w:rsidR="00AA77A0" w:rsidRPr="00C50091" w14:paraId="734DB2DE" w14:textId="77777777" w:rsidTr="002C3C03">
        <w:tc>
          <w:tcPr>
            <w:tcW w:w="4365" w:type="dxa"/>
            <w:vMerge/>
          </w:tcPr>
          <w:p w14:paraId="1A4F3314" w14:textId="77777777" w:rsidR="00AA77A0" w:rsidRPr="003B455E" w:rsidRDefault="00AA77A0" w:rsidP="00AA77A0">
            <w:pPr>
              <w:rPr>
                <w:rFonts w:cstheme="minorHAnsi"/>
              </w:rPr>
            </w:pPr>
          </w:p>
        </w:tc>
        <w:tc>
          <w:tcPr>
            <w:tcW w:w="1380" w:type="dxa"/>
            <w:vAlign w:val="center"/>
          </w:tcPr>
          <w:p w14:paraId="6B673F49" w14:textId="361E774F" w:rsidR="00AA77A0" w:rsidRPr="003B455E" w:rsidRDefault="00AA77A0" w:rsidP="00AA77A0">
            <w:pPr>
              <w:pStyle w:val="ConsPlusNormal"/>
              <w:ind w:left="283"/>
              <w:rPr>
                <w:rFonts w:asciiTheme="minorHAnsi" w:hAnsiTheme="minorHAnsi" w:cstheme="minorHAnsi"/>
              </w:rPr>
            </w:pPr>
            <w:r w:rsidRPr="00802108">
              <w:rPr>
                <w:rFonts w:asciiTheme="minorHAnsi" w:hAnsiTheme="minorHAnsi" w:cstheme="minorHAnsi"/>
              </w:rPr>
              <w:t>3 месяца</w:t>
            </w:r>
          </w:p>
        </w:tc>
        <w:tc>
          <w:tcPr>
            <w:tcW w:w="1480" w:type="dxa"/>
            <w:vAlign w:val="bottom"/>
          </w:tcPr>
          <w:p w14:paraId="72F3B61F" w14:textId="5667C1C5" w:rsidR="00AA77A0" w:rsidRPr="003B455E" w:rsidRDefault="00AA77A0" w:rsidP="00AA77A0">
            <w:pPr>
              <w:pStyle w:val="ConsPlusNormal"/>
              <w:rPr>
                <w:rFonts w:asciiTheme="minorHAnsi" w:hAnsiTheme="minorHAnsi" w:cstheme="minorHAnsi"/>
              </w:rPr>
            </w:pPr>
            <w:r>
              <w:rPr>
                <w:color w:val="000000"/>
                <w:szCs w:val="22"/>
              </w:rPr>
              <w:t>3,62%</w:t>
            </w:r>
          </w:p>
        </w:tc>
        <w:tc>
          <w:tcPr>
            <w:tcW w:w="1846" w:type="dxa"/>
            <w:vAlign w:val="bottom"/>
          </w:tcPr>
          <w:p w14:paraId="0A9EC4F7" w14:textId="67556CE7" w:rsidR="00AA77A0" w:rsidRPr="00366797" w:rsidRDefault="00AA77A0" w:rsidP="00AA77A0">
            <w:pPr>
              <w:pStyle w:val="ConsPlusNormal"/>
              <w:rPr>
                <w:rFonts w:asciiTheme="minorHAnsi" w:hAnsiTheme="minorHAnsi" w:cstheme="minorHAnsi"/>
                <w:highlight w:val="yellow"/>
              </w:rPr>
            </w:pPr>
            <w:r>
              <w:rPr>
                <w:color w:val="000000"/>
                <w:szCs w:val="22"/>
              </w:rPr>
              <w:t>2,29%</w:t>
            </w:r>
          </w:p>
        </w:tc>
      </w:tr>
      <w:tr w:rsidR="00AA77A0" w:rsidRPr="00C50091" w14:paraId="2D189623" w14:textId="77777777" w:rsidTr="002C3C03">
        <w:tc>
          <w:tcPr>
            <w:tcW w:w="4365" w:type="dxa"/>
            <w:vMerge/>
          </w:tcPr>
          <w:p w14:paraId="06D3E770" w14:textId="77777777" w:rsidR="00AA77A0" w:rsidRPr="003B455E" w:rsidRDefault="00AA77A0" w:rsidP="00AA77A0">
            <w:pPr>
              <w:rPr>
                <w:rFonts w:cstheme="minorHAnsi"/>
              </w:rPr>
            </w:pPr>
          </w:p>
        </w:tc>
        <w:tc>
          <w:tcPr>
            <w:tcW w:w="1380" w:type="dxa"/>
            <w:vAlign w:val="bottom"/>
          </w:tcPr>
          <w:p w14:paraId="0A625FAD" w14:textId="607D8456" w:rsidR="00AA77A0" w:rsidRPr="003B455E" w:rsidRDefault="00AA77A0" w:rsidP="00AA77A0">
            <w:pPr>
              <w:pStyle w:val="ConsPlusNormal"/>
              <w:ind w:left="283"/>
              <w:rPr>
                <w:rFonts w:asciiTheme="minorHAnsi" w:hAnsiTheme="minorHAnsi" w:cstheme="minorHAnsi"/>
              </w:rPr>
            </w:pPr>
            <w:r w:rsidRPr="00802108">
              <w:rPr>
                <w:rFonts w:asciiTheme="minorHAnsi" w:hAnsiTheme="minorHAnsi" w:cstheme="minorHAnsi"/>
              </w:rPr>
              <w:t>6 месяцев</w:t>
            </w:r>
          </w:p>
        </w:tc>
        <w:tc>
          <w:tcPr>
            <w:tcW w:w="1480" w:type="dxa"/>
            <w:vAlign w:val="bottom"/>
          </w:tcPr>
          <w:p w14:paraId="7AFD14DC" w14:textId="378245EE" w:rsidR="00AA77A0" w:rsidRPr="003B455E" w:rsidRDefault="00AA77A0" w:rsidP="00AA77A0">
            <w:pPr>
              <w:pStyle w:val="ConsPlusNormal"/>
              <w:rPr>
                <w:rFonts w:asciiTheme="minorHAnsi" w:hAnsiTheme="minorHAnsi" w:cstheme="minorHAnsi"/>
              </w:rPr>
            </w:pPr>
            <w:r>
              <w:rPr>
                <w:color w:val="000000"/>
                <w:szCs w:val="22"/>
              </w:rPr>
              <w:t>7,74%</w:t>
            </w:r>
          </w:p>
        </w:tc>
        <w:tc>
          <w:tcPr>
            <w:tcW w:w="1846" w:type="dxa"/>
            <w:vAlign w:val="bottom"/>
          </w:tcPr>
          <w:p w14:paraId="5A1631C8" w14:textId="5382EA3A" w:rsidR="00AA77A0" w:rsidRPr="00366797" w:rsidRDefault="00AA77A0" w:rsidP="00AA77A0">
            <w:pPr>
              <w:pStyle w:val="ConsPlusNormal"/>
              <w:rPr>
                <w:rFonts w:asciiTheme="minorHAnsi" w:hAnsiTheme="minorHAnsi" w:cstheme="minorHAnsi"/>
                <w:highlight w:val="yellow"/>
              </w:rPr>
            </w:pPr>
            <w:r>
              <w:rPr>
                <w:color w:val="000000"/>
                <w:szCs w:val="22"/>
              </w:rPr>
              <w:t>7,27%</w:t>
            </w:r>
          </w:p>
        </w:tc>
      </w:tr>
      <w:tr w:rsidR="00AA77A0" w:rsidRPr="00C50091" w14:paraId="00022598" w14:textId="77777777" w:rsidTr="002C3C03">
        <w:tc>
          <w:tcPr>
            <w:tcW w:w="4365" w:type="dxa"/>
            <w:vMerge/>
          </w:tcPr>
          <w:p w14:paraId="23447C1B" w14:textId="77777777" w:rsidR="00AA77A0" w:rsidRPr="003B455E" w:rsidRDefault="00AA77A0" w:rsidP="00AA77A0">
            <w:pPr>
              <w:rPr>
                <w:rFonts w:cstheme="minorHAnsi"/>
              </w:rPr>
            </w:pPr>
          </w:p>
        </w:tc>
        <w:tc>
          <w:tcPr>
            <w:tcW w:w="1380" w:type="dxa"/>
            <w:vAlign w:val="center"/>
          </w:tcPr>
          <w:p w14:paraId="1559E4EA" w14:textId="730568B2" w:rsidR="00AA77A0" w:rsidRPr="003B455E" w:rsidRDefault="00AA77A0" w:rsidP="00AA77A0">
            <w:pPr>
              <w:pStyle w:val="ConsPlusNormal"/>
              <w:ind w:left="283"/>
              <w:rPr>
                <w:rFonts w:asciiTheme="minorHAnsi" w:hAnsiTheme="minorHAnsi" w:cstheme="minorHAnsi"/>
              </w:rPr>
            </w:pPr>
            <w:r w:rsidRPr="00802108">
              <w:rPr>
                <w:rFonts w:asciiTheme="minorHAnsi" w:hAnsiTheme="minorHAnsi" w:cstheme="minorHAnsi"/>
              </w:rPr>
              <w:t>1 год</w:t>
            </w:r>
          </w:p>
        </w:tc>
        <w:tc>
          <w:tcPr>
            <w:tcW w:w="1480" w:type="dxa"/>
            <w:vAlign w:val="bottom"/>
          </w:tcPr>
          <w:p w14:paraId="34AF94F7" w14:textId="6D8C3101" w:rsidR="00AA77A0" w:rsidRPr="003B455E" w:rsidRDefault="00AA77A0" w:rsidP="00AA77A0">
            <w:pPr>
              <w:pStyle w:val="ConsPlusNormal"/>
              <w:rPr>
                <w:rFonts w:asciiTheme="minorHAnsi" w:hAnsiTheme="minorHAnsi" w:cstheme="minorHAnsi"/>
              </w:rPr>
            </w:pPr>
            <w:r>
              <w:rPr>
                <w:color w:val="000000"/>
                <w:szCs w:val="22"/>
              </w:rPr>
              <w:t>15,80%</w:t>
            </w:r>
          </w:p>
        </w:tc>
        <w:tc>
          <w:tcPr>
            <w:tcW w:w="1846" w:type="dxa"/>
            <w:vAlign w:val="bottom"/>
          </w:tcPr>
          <w:p w14:paraId="4EF284CC" w14:textId="7366942D" w:rsidR="00AA77A0" w:rsidRPr="00366797" w:rsidRDefault="00AA77A0" w:rsidP="00AA77A0">
            <w:pPr>
              <w:pStyle w:val="ConsPlusNormal"/>
              <w:rPr>
                <w:rFonts w:asciiTheme="minorHAnsi" w:hAnsiTheme="minorHAnsi" w:cstheme="minorHAnsi"/>
                <w:highlight w:val="yellow"/>
              </w:rPr>
            </w:pPr>
            <w:r>
              <w:rPr>
                <w:color w:val="000000"/>
                <w:szCs w:val="22"/>
              </w:rPr>
              <w:t>3,86%</w:t>
            </w:r>
          </w:p>
        </w:tc>
      </w:tr>
      <w:tr w:rsidR="00AA77A0" w:rsidRPr="00C50091" w14:paraId="61586E32" w14:textId="77777777" w:rsidTr="002C3C03">
        <w:tc>
          <w:tcPr>
            <w:tcW w:w="4365" w:type="dxa"/>
            <w:vMerge/>
          </w:tcPr>
          <w:p w14:paraId="6D68E732" w14:textId="77777777" w:rsidR="00AA77A0" w:rsidRPr="003B455E" w:rsidRDefault="00AA77A0" w:rsidP="00AA77A0">
            <w:pPr>
              <w:rPr>
                <w:rFonts w:cstheme="minorHAnsi"/>
              </w:rPr>
            </w:pPr>
          </w:p>
        </w:tc>
        <w:tc>
          <w:tcPr>
            <w:tcW w:w="1380" w:type="dxa"/>
            <w:vAlign w:val="center"/>
          </w:tcPr>
          <w:p w14:paraId="6C7A6518" w14:textId="08810C72" w:rsidR="00AA77A0" w:rsidRPr="003B455E" w:rsidRDefault="00AA77A0" w:rsidP="00AA77A0">
            <w:pPr>
              <w:pStyle w:val="ConsPlusNormal"/>
              <w:ind w:left="283"/>
              <w:rPr>
                <w:rFonts w:asciiTheme="minorHAnsi" w:hAnsiTheme="minorHAnsi" w:cstheme="minorHAnsi"/>
              </w:rPr>
            </w:pPr>
            <w:r w:rsidRPr="00802108">
              <w:rPr>
                <w:rFonts w:asciiTheme="minorHAnsi" w:hAnsiTheme="minorHAnsi" w:cstheme="minorHAnsi"/>
              </w:rPr>
              <w:t>3 года</w:t>
            </w:r>
          </w:p>
        </w:tc>
        <w:tc>
          <w:tcPr>
            <w:tcW w:w="1480" w:type="dxa"/>
            <w:vAlign w:val="bottom"/>
          </w:tcPr>
          <w:p w14:paraId="2E854221" w14:textId="70E4806D" w:rsidR="00AA77A0" w:rsidRPr="003B455E" w:rsidRDefault="00AA77A0" w:rsidP="00AA77A0">
            <w:pPr>
              <w:pStyle w:val="ConsPlusNormal"/>
              <w:rPr>
                <w:rFonts w:asciiTheme="minorHAnsi" w:hAnsiTheme="minorHAnsi" w:cstheme="minorHAnsi"/>
              </w:rPr>
            </w:pPr>
            <w:r>
              <w:rPr>
                <w:color w:val="000000"/>
                <w:szCs w:val="22"/>
              </w:rPr>
              <w:t>31,39%</w:t>
            </w:r>
          </w:p>
        </w:tc>
        <w:tc>
          <w:tcPr>
            <w:tcW w:w="1846" w:type="dxa"/>
            <w:vAlign w:val="bottom"/>
          </w:tcPr>
          <w:p w14:paraId="4946C1EE" w14:textId="1FBB0AB7" w:rsidR="00AA77A0" w:rsidRPr="00366797" w:rsidRDefault="00AA77A0" w:rsidP="00AA77A0">
            <w:pPr>
              <w:pStyle w:val="ConsPlusNormal"/>
              <w:rPr>
                <w:rFonts w:asciiTheme="minorHAnsi" w:hAnsiTheme="minorHAnsi" w:cstheme="minorHAnsi"/>
                <w:highlight w:val="yellow"/>
              </w:rPr>
            </w:pPr>
            <w:r>
              <w:rPr>
                <w:color w:val="000000"/>
                <w:szCs w:val="22"/>
              </w:rPr>
              <w:t>6,15%</w:t>
            </w:r>
          </w:p>
        </w:tc>
      </w:tr>
      <w:tr w:rsidR="00AA77A0" w:rsidRPr="00C50091" w14:paraId="23E49679" w14:textId="77777777" w:rsidTr="002C3C03">
        <w:tc>
          <w:tcPr>
            <w:tcW w:w="4365" w:type="dxa"/>
            <w:vMerge/>
          </w:tcPr>
          <w:p w14:paraId="18885D97" w14:textId="77777777" w:rsidR="00AA77A0" w:rsidRPr="003B455E" w:rsidRDefault="00AA77A0" w:rsidP="00AA77A0">
            <w:pPr>
              <w:pStyle w:val="ConsPlusNormal"/>
              <w:rPr>
                <w:rFonts w:asciiTheme="minorHAnsi" w:hAnsiTheme="minorHAnsi" w:cstheme="minorHAnsi"/>
              </w:rPr>
            </w:pPr>
          </w:p>
        </w:tc>
        <w:tc>
          <w:tcPr>
            <w:tcW w:w="1380" w:type="dxa"/>
            <w:vAlign w:val="center"/>
          </w:tcPr>
          <w:p w14:paraId="427B3323" w14:textId="137B6B97" w:rsidR="00AA77A0" w:rsidRPr="003B455E" w:rsidRDefault="00AA77A0" w:rsidP="00AA77A0">
            <w:pPr>
              <w:pStyle w:val="ConsPlusNormal"/>
              <w:ind w:left="283"/>
              <w:rPr>
                <w:rFonts w:asciiTheme="minorHAnsi" w:hAnsiTheme="minorHAnsi" w:cstheme="minorHAnsi"/>
              </w:rPr>
            </w:pPr>
            <w:r w:rsidRPr="00802108">
              <w:rPr>
                <w:rFonts w:asciiTheme="minorHAnsi" w:hAnsiTheme="minorHAnsi" w:cstheme="minorHAnsi"/>
              </w:rPr>
              <w:t>5 лет</w:t>
            </w:r>
          </w:p>
        </w:tc>
        <w:tc>
          <w:tcPr>
            <w:tcW w:w="1480" w:type="dxa"/>
            <w:vAlign w:val="bottom"/>
          </w:tcPr>
          <w:p w14:paraId="0B6591EC" w14:textId="22C7A8E9" w:rsidR="00AA77A0" w:rsidRPr="003B455E" w:rsidRDefault="00AA77A0" w:rsidP="00AA77A0">
            <w:pPr>
              <w:pStyle w:val="ConsPlusNormal"/>
              <w:rPr>
                <w:rFonts w:asciiTheme="minorHAnsi" w:hAnsiTheme="minorHAnsi" w:cstheme="minorHAnsi"/>
              </w:rPr>
            </w:pPr>
            <w:r>
              <w:rPr>
                <w:color w:val="000000"/>
                <w:szCs w:val="22"/>
              </w:rPr>
              <w:t>54,59%</w:t>
            </w:r>
          </w:p>
        </w:tc>
        <w:tc>
          <w:tcPr>
            <w:tcW w:w="1846" w:type="dxa"/>
            <w:vAlign w:val="bottom"/>
          </w:tcPr>
          <w:p w14:paraId="529BB3CB" w14:textId="68A64B9B" w:rsidR="00AA77A0" w:rsidRPr="00366797" w:rsidRDefault="00AA77A0" w:rsidP="00AA77A0">
            <w:pPr>
              <w:pStyle w:val="ConsPlusNormal"/>
              <w:rPr>
                <w:rFonts w:asciiTheme="minorHAnsi" w:hAnsiTheme="minorHAnsi" w:cstheme="minorHAnsi"/>
                <w:highlight w:val="yellow"/>
              </w:rPr>
            </w:pPr>
            <w:r>
              <w:rPr>
                <w:color w:val="000000"/>
                <w:szCs w:val="22"/>
              </w:rPr>
              <w:t>22,05%</w:t>
            </w:r>
          </w:p>
        </w:tc>
      </w:tr>
    </w:tbl>
    <w:p w14:paraId="136D627F" w14:textId="77777777" w:rsidR="004F6824" w:rsidRPr="00C50091" w:rsidRDefault="004F6824" w:rsidP="00986649">
      <w:pPr>
        <w:spacing w:line="276" w:lineRule="auto"/>
        <w:rPr>
          <w:rFonts w:cstheme="minorHAnsi"/>
        </w:rPr>
      </w:pPr>
    </w:p>
    <w:p w14:paraId="66686100" w14:textId="253EC9D1" w:rsidR="007A0DCF" w:rsidRPr="00C50091" w:rsidRDefault="007E4067" w:rsidP="00AA77A0">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AA77A0" w:rsidRPr="00AA77A0">
        <w:rPr>
          <w:rFonts w:cstheme="minorHAnsi"/>
        </w:rPr>
        <w:t>911,78</w:t>
      </w:r>
      <w:r w:rsidR="00AA77A0">
        <w:rPr>
          <w:rFonts w:cstheme="minorHAnsi"/>
        </w:rPr>
        <w:t xml:space="preserve"> </w:t>
      </w:r>
      <w:r w:rsidRPr="00C50091">
        <w:rPr>
          <w:rFonts w:cstheme="minorHAnsi"/>
        </w:rPr>
        <w:t>рублей.</w:t>
      </w:r>
    </w:p>
    <w:p w14:paraId="59CB4D01" w14:textId="0C903A89" w:rsidR="007F4701" w:rsidRPr="007F4701" w:rsidRDefault="007A0DCF" w:rsidP="00AA77A0">
      <w:pPr>
        <w:pStyle w:val="a3"/>
        <w:numPr>
          <w:ilvl w:val="0"/>
          <w:numId w:val="3"/>
        </w:numPr>
        <w:spacing w:line="276" w:lineRule="auto"/>
        <w:rPr>
          <w:rFonts w:cstheme="minorHAnsi"/>
        </w:rPr>
      </w:pPr>
      <w:r w:rsidRPr="007F4701">
        <w:rPr>
          <w:rFonts w:cstheme="minorHAnsi"/>
        </w:rPr>
        <w:t xml:space="preserve">Стоимость чистых активов </w:t>
      </w:r>
      <w:r w:rsidR="00AA77A0" w:rsidRPr="00AA77A0">
        <w:rPr>
          <w:rFonts w:cstheme="minorHAnsi"/>
        </w:rPr>
        <w:t>145</w:t>
      </w:r>
      <w:r w:rsidR="00AA77A0">
        <w:rPr>
          <w:rFonts w:cstheme="minorHAnsi"/>
        </w:rPr>
        <w:t> </w:t>
      </w:r>
      <w:r w:rsidR="00AA77A0" w:rsidRPr="00AA77A0">
        <w:rPr>
          <w:rFonts w:cstheme="minorHAnsi"/>
        </w:rPr>
        <w:t>885</w:t>
      </w:r>
      <w:r w:rsidR="00AA77A0">
        <w:rPr>
          <w:rFonts w:cstheme="minorHAnsi"/>
        </w:rPr>
        <w:t xml:space="preserve"> </w:t>
      </w:r>
      <w:bookmarkStart w:id="0" w:name="_GoBack"/>
      <w:bookmarkEnd w:id="0"/>
      <w:r w:rsidR="00AA77A0" w:rsidRPr="00AA77A0">
        <w:rPr>
          <w:rFonts w:cstheme="minorHAnsi"/>
        </w:rPr>
        <w:t>508,26</w:t>
      </w:r>
      <w:r w:rsidR="00F0144F">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w:t>
      </w:r>
      <w:r w:rsidRPr="00634487">
        <w:rPr>
          <w:rFonts w:cstheme="minorHAnsi"/>
        </w:rPr>
        <w:lastRenderedPageBreak/>
        <w:t>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95B09"/>
    <w:rsid w:val="000C2A9D"/>
    <w:rsid w:val="000F7446"/>
    <w:rsid w:val="00102B2B"/>
    <w:rsid w:val="001743E3"/>
    <w:rsid w:val="00185541"/>
    <w:rsid w:val="001858EA"/>
    <w:rsid w:val="001F0100"/>
    <w:rsid w:val="001F3FB3"/>
    <w:rsid w:val="00232119"/>
    <w:rsid w:val="00292E15"/>
    <w:rsid w:val="002A6763"/>
    <w:rsid w:val="002E02FF"/>
    <w:rsid w:val="00325B37"/>
    <w:rsid w:val="00355713"/>
    <w:rsid w:val="00366797"/>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953EA"/>
    <w:rsid w:val="005B4BA0"/>
    <w:rsid w:val="005C0AFF"/>
    <w:rsid w:val="005E2EAC"/>
    <w:rsid w:val="00617C83"/>
    <w:rsid w:val="006206A1"/>
    <w:rsid w:val="006342CC"/>
    <w:rsid w:val="00634487"/>
    <w:rsid w:val="00656118"/>
    <w:rsid w:val="006C15EF"/>
    <w:rsid w:val="006E0A54"/>
    <w:rsid w:val="006F317C"/>
    <w:rsid w:val="00701135"/>
    <w:rsid w:val="007A0DCF"/>
    <w:rsid w:val="007E1692"/>
    <w:rsid w:val="007E4067"/>
    <w:rsid w:val="007E684E"/>
    <w:rsid w:val="007F4701"/>
    <w:rsid w:val="00802108"/>
    <w:rsid w:val="00835F80"/>
    <w:rsid w:val="00876ABD"/>
    <w:rsid w:val="00892B09"/>
    <w:rsid w:val="008A3977"/>
    <w:rsid w:val="008D510F"/>
    <w:rsid w:val="0090363B"/>
    <w:rsid w:val="0098657F"/>
    <w:rsid w:val="00986649"/>
    <w:rsid w:val="0099110E"/>
    <w:rsid w:val="009D20F1"/>
    <w:rsid w:val="009D5F29"/>
    <w:rsid w:val="00A34267"/>
    <w:rsid w:val="00A52C36"/>
    <w:rsid w:val="00A672DA"/>
    <w:rsid w:val="00A90490"/>
    <w:rsid w:val="00AA1555"/>
    <w:rsid w:val="00AA77A0"/>
    <w:rsid w:val="00AB030D"/>
    <w:rsid w:val="00AD2AFD"/>
    <w:rsid w:val="00AF0868"/>
    <w:rsid w:val="00B2201C"/>
    <w:rsid w:val="00B46757"/>
    <w:rsid w:val="00B54044"/>
    <w:rsid w:val="00B54989"/>
    <w:rsid w:val="00B56A94"/>
    <w:rsid w:val="00B608FC"/>
    <w:rsid w:val="00B61C41"/>
    <w:rsid w:val="00B83893"/>
    <w:rsid w:val="00C45B63"/>
    <w:rsid w:val="00C50091"/>
    <w:rsid w:val="00C75DF9"/>
    <w:rsid w:val="00C84B56"/>
    <w:rsid w:val="00CA1DFB"/>
    <w:rsid w:val="00CA4DEC"/>
    <w:rsid w:val="00CD5164"/>
    <w:rsid w:val="00CF0234"/>
    <w:rsid w:val="00CF2BFD"/>
    <w:rsid w:val="00D0350E"/>
    <w:rsid w:val="00D20188"/>
    <w:rsid w:val="00D509BF"/>
    <w:rsid w:val="00DA0098"/>
    <w:rsid w:val="00DA7C24"/>
    <w:rsid w:val="00DC6B5D"/>
    <w:rsid w:val="00DD12D0"/>
    <w:rsid w:val="00DD5572"/>
    <w:rsid w:val="00DD6080"/>
    <w:rsid w:val="00E0632F"/>
    <w:rsid w:val="00E23413"/>
    <w:rsid w:val="00E4575A"/>
    <w:rsid w:val="00E66B06"/>
    <w:rsid w:val="00EB78B5"/>
    <w:rsid w:val="00F0144F"/>
    <w:rsid w:val="00F45573"/>
    <w:rsid w:val="00F8635C"/>
    <w:rsid w:val="00F90093"/>
    <w:rsid w:val="00FB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0.16454889690768743</c:v>
                </c:pt>
                <c:pt idx="1">
                  <c:v>9.9960166832682371E-2</c:v>
                </c:pt>
                <c:pt idx="2">
                  <c:v>7.43589153232012E-2</c:v>
                </c:pt>
                <c:pt idx="3">
                  <c:v>0.1213306071071447</c:v>
                </c:pt>
                <c:pt idx="4">
                  <c:v>0.11436045260156219</c:v>
                </c:pt>
              </c:numCache>
            </c:numRef>
          </c:val>
          <c:extLst>
            <c:ext xmlns:c16="http://schemas.microsoft.com/office/drawing/2014/chart" uri="{C3380CC4-5D6E-409C-BE32-E72D297353CC}">
              <c16:uniqueId val="{00000000-7E63-495C-9BDD-06E6D787510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1267</Words>
  <Characters>7223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28</cp:revision>
  <cp:lastPrinted>2021-09-07T11:44:00Z</cp:lastPrinted>
  <dcterms:created xsi:type="dcterms:W3CDTF">2021-10-28T16:13:00Z</dcterms:created>
  <dcterms:modified xsi:type="dcterms:W3CDTF">2023-02-09T13:42:00Z</dcterms:modified>
</cp:coreProperties>
</file>