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CD0318">
        <w:rPr>
          <w:rFonts w:cstheme="minorHAnsi"/>
        </w:rPr>
        <w:t>28</w:t>
      </w:r>
      <w:r w:rsidRPr="0021055B">
        <w:rPr>
          <w:rFonts w:cstheme="minorHAnsi"/>
        </w:rPr>
        <w:t>.</w:t>
      </w:r>
      <w:r w:rsidR="00BC1901">
        <w:rPr>
          <w:rFonts w:cstheme="minorHAnsi"/>
        </w:rPr>
        <w:t>0</w:t>
      </w:r>
      <w:r w:rsidR="00CD0318">
        <w:rPr>
          <w:rFonts w:cstheme="minorHAnsi"/>
        </w:rPr>
        <w:t>2</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16</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BC1901" w:rsidP="00CD0318">
            <w:pPr>
              <w:spacing w:line="276" w:lineRule="auto"/>
              <w:jc w:val="center"/>
              <w:rPr>
                <w:rFonts w:cstheme="minorHAnsi"/>
              </w:rPr>
            </w:pPr>
            <w:r>
              <w:rPr>
                <w:rFonts w:cstheme="minorHAnsi"/>
              </w:rPr>
              <w:t>36,</w:t>
            </w:r>
            <w:r w:rsidR="00CD0318">
              <w:rPr>
                <w:rFonts w:cstheme="minorHAnsi"/>
              </w:rPr>
              <w:t>76</w:t>
            </w:r>
          </w:p>
        </w:tc>
      </w:tr>
      <w:tr w:rsidR="00BC1901" w:rsidRPr="001833AE" w:rsidTr="00903000">
        <w:tc>
          <w:tcPr>
            <w:tcW w:w="6516" w:type="dxa"/>
            <w:shd w:val="clear" w:color="auto" w:fill="auto"/>
          </w:tcPr>
          <w:p w:rsidR="00BC1901" w:rsidRPr="00903000" w:rsidRDefault="00BC1901" w:rsidP="008C4FD4">
            <w:pPr>
              <w:spacing w:line="276" w:lineRule="auto"/>
              <w:rPr>
                <w:rFonts w:cstheme="minorHAnsi"/>
              </w:rPr>
            </w:pPr>
            <w:r>
              <w:rPr>
                <w:rFonts w:cstheme="minorHAnsi"/>
              </w:rPr>
              <w:t>Дебиторская задолженность</w:t>
            </w:r>
          </w:p>
        </w:tc>
        <w:tc>
          <w:tcPr>
            <w:tcW w:w="2829" w:type="dxa"/>
            <w:shd w:val="clear" w:color="auto" w:fill="auto"/>
            <w:vAlign w:val="center"/>
          </w:tcPr>
          <w:p w:rsidR="00BC1901" w:rsidRDefault="00BC1901" w:rsidP="00CD0318">
            <w:pPr>
              <w:spacing w:line="276" w:lineRule="auto"/>
              <w:jc w:val="center"/>
              <w:rPr>
                <w:rFonts w:cstheme="minorHAnsi"/>
              </w:rPr>
            </w:pPr>
            <w:r>
              <w:rPr>
                <w:rFonts w:cstheme="minorHAnsi"/>
              </w:rPr>
              <w:t>15,</w:t>
            </w:r>
            <w:r w:rsidR="00CD0318">
              <w:rPr>
                <w:rFonts w:cstheme="minorHAnsi"/>
              </w:rPr>
              <w:t>28</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lastRenderedPageBreak/>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CD0318">
            <w:pPr>
              <w:spacing w:line="276" w:lineRule="auto"/>
              <w:jc w:val="center"/>
              <w:rPr>
                <w:rFonts w:cstheme="minorHAnsi"/>
                <w:lang w:val="en-US"/>
              </w:rPr>
            </w:pPr>
            <w:r>
              <w:rPr>
                <w:rFonts w:cstheme="minorHAnsi"/>
              </w:rPr>
              <w:t>10,</w:t>
            </w:r>
            <w:r w:rsidR="00CD0318">
              <w:rPr>
                <w:rFonts w:cstheme="minorHAnsi"/>
              </w:rPr>
              <w:t>66</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BC1901" w:rsidP="00CD0318">
            <w:pPr>
              <w:spacing w:line="276" w:lineRule="auto"/>
              <w:jc w:val="center"/>
              <w:rPr>
                <w:rFonts w:cstheme="minorHAnsi"/>
                <w:lang w:val="en-US"/>
              </w:rPr>
            </w:pPr>
            <w:r>
              <w:rPr>
                <w:rFonts w:cstheme="minorHAnsi"/>
              </w:rPr>
              <w:t>6,</w:t>
            </w:r>
            <w:r w:rsidR="00CD0318">
              <w:rPr>
                <w:rFonts w:cstheme="minorHAnsi"/>
              </w:rPr>
              <w:t>54</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Земли населенных пунктов для обслуживания здания торгово-офисного центра с кадастровым номером </w:t>
            </w:r>
            <w:r w:rsidR="00BC1901" w:rsidRPr="00BC1901">
              <w:rPr>
                <w:rFonts w:cstheme="minorHAnsi"/>
              </w:rPr>
              <w:t>62:29:0080010:32</w:t>
            </w:r>
            <w:r w:rsidRPr="00903000">
              <w:rPr>
                <w:rFonts w:cstheme="minorHAnsi"/>
              </w:rPr>
              <w:t xml:space="preserve">, по адресу: </w:t>
            </w:r>
            <w:r w:rsidR="00BC1901" w:rsidRPr="00BC1901">
              <w:rPr>
                <w:rFonts w:cstheme="minorHAnsi"/>
              </w:rPr>
              <w:t>обл. Рязанская, г. Рязань, ул. Соборная, 15а, (Советский район)</w:t>
            </w:r>
          </w:p>
        </w:tc>
        <w:tc>
          <w:tcPr>
            <w:tcW w:w="2829" w:type="dxa"/>
            <w:shd w:val="clear" w:color="auto" w:fill="auto"/>
            <w:vAlign w:val="center"/>
          </w:tcPr>
          <w:p w:rsidR="00903000" w:rsidRDefault="00CD0318" w:rsidP="00CD0318">
            <w:pPr>
              <w:spacing w:line="276" w:lineRule="auto"/>
              <w:jc w:val="center"/>
              <w:rPr>
                <w:rFonts w:cstheme="minorHAnsi"/>
              </w:rPr>
            </w:pPr>
            <w:r>
              <w:rPr>
                <w:rFonts w:cstheme="minorHAnsi"/>
              </w:rPr>
              <w:t>5</w:t>
            </w:r>
            <w:r w:rsidR="00903000">
              <w:rPr>
                <w:rFonts w:cstheme="minorHAnsi"/>
              </w:rPr>
              <w:t>,</w:t>
            </w:r>
            <w:r>
              <w:rPr>
                <w:rFonts w:cstheme="minorHAnsi"/>
              </w:rPr>
              <w:t>99</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C1901" w:rsidRDefault="00236A0E" w:rsidP="00BC1901">
            <w:pPr>
              <w:pStyle w:val="ConsPlusNormal"/>
              <w:ind w:left="283"/>
              <w:rPr>
                <w:rFonts w:asciiTheme="minorHAnsi" w:hAnsiTheme="minorHAnsi" w:cstheme="minorHAnsi"/>
              </w:rPr>
            </w:pPr>
            <w:r w:rsidRPr="003B455E">
              <w:rPr>
                <w:rFonts w:asciiTheme="minorHAnsi" w:hAnsiTheme="minorHAnsi" w:cstheme="minorHAnsi"/>
              </w:rPr>
              <w:t>инфляции</w:t>
            </w:r>
            <w:r w:rsidR="00BC1901">
              <w:rPr>
                <w:rFonts w:asciiTheme="minorHAnsi" w:hAnsiTheme="minorHAnsi" w:cstheme="minorHAnsi"/>
              </w:rPr>
              <w:t>*</w:t>
            </w:r>
          </w:p>
          <w:p w:rsidR="00236A0E" w:rsidRPr="003B455E" w:rsidRDefault="00BC1901" w:rsidP="00CD0318">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CD0318">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CD0318">
              <w:rPr>
                <w:rFonts w:asciiTheme="minorHAnsi" w:hAnsiTheme="minorHAnsi" w:cstheme="minorHAnsi"/>
                <w:sz w:val="12"/>
                <w:szCs w:val="12"/>
              </w:rPr>
              <w:t>3</w:t>
            </w:r>
            <w:r w:rsidRPr="00EB78B5">
              <w:rPr>
                <w:rFonts w:asciiTheme="minorHAnsi" w:hAnsiTheme="minorHAnsi" w:cstheme="minorHAnsi"/>
                <w:sz w:val="12"/>
                <w:szCs w:val="12"/>
              </w:rPr>
              <w:t>)</w:t>
            </w:r>
          </w:p>
        </w:tc>
      </w:tr>
      <w:tr w:rsidR="00CD0318" w:rsidRPr="00C50091" w:rsidTr="00553F85">
        <w:tc>
          <w:tcPr>
            <w:tcW w:w="4365" w:type="dxa"/>
            <w:vMerge/>
          </w:tcPr>
          <w:p w:rsidR="00CD0318" w:rsidRPr="003B455E" w:rsidRDefault="00CD0318" w:rsidP="00CD0318">
            <w:pPr>
              <w:rPr>
                <w:rFonts w:cstheme="minorHAnsi"/>
              </w:rPr>
            </w:pPr>
          </w:p>
        </w:tc>
        <w:tc>
          <w:tcPr>
            <w:tcW w:w="1380" w:type="dxa"/>
            <w:vAlign w:val="center"/>
          </w:tcPr>
          <w:p w:rsidR="00CD0318" w:rsidRPr="003B455E" w:rsidRDefault="00CD0318" w:rsidP="00CD0318">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CD0318" w:rsidRDefault="00CD0318" w:rsidP="00CD0318">
            <w:pPr>
              <w:jc w:val="right"/>
              <w:rPr>
                <w:rFonts w:ascii="Calibri" w:hAnsi="Calibri" w:cs="Calibri"/>
                <w:color w:val="000000"/>
              </w:rPr>
            </w:pPr>
            <w:r>
              <w:rPr>
                <w:rFonts w:ascii="Calibri" w:hAnsi="Calibri" w:cs="Calibri"/>
                <w:color w:val="000000"/>
              </w:rPr>
              <w:t>-0,04%</w:t>
            </w:r>
          </w:p>
        </w:tc>
        <w:tc>
          <w:tcPr>
            <w:tcW w:w="1705" w:type="dxa"/>
            <w:vAlign w:val="bottom"/>
          </w:tcPr>
          <w:p w:rsidR="00CD0318" w:rsidRDefault="00CD0318" w:rsidP="00CD0318">
            <w:pPr>
              <w:jc w:val="right"/>
              <w:rPr>
                <w:rFonts w:ascii="Calibri" w:hAnsi="Calibri" w:cs="Calibri"/>
                <w:color w:val="000000"/>
              </w:rPr>
            </w:pPr>
            <w:r>
              <w:rPr>
                <w:rFonts w:ascii="Calibri" w:hAnsi="Calibri" w:cs="Calibri"/>
                <w:color w:val="000000"/>
              </w:rPr>
              <w:t>-0,88%</w:t>
            </w:r>
          </w:p>
        </w:tc>
      </w:tr>
      <w:tr w:rsidR="00CD0318" w:rsidRPr="00C50091" w:rsidTr="00553F85">
        <w:tc>
          <w:tcPr>
            <w:tcW w:w="4365" w:type="dxa"/>
            <w:vMerge/>
          </w:tcPr>
          <w:p w:rsidR="00CD0318" w:rsidRPr="003B455E" w:rsidRDefault="00CD0318" w:rsidP="00CD0318">
            <w:pPr>
              <w:rPr>
                <w:rFonts w:cstheme="minorHAnsi"/>
              </w:rPr>
            </w:pPr>
          </w:p>
        </w:tc>
        <w:tc>
          <w:tcPr>
            <w:tcW w:w="1380" w:type="dxa"/>
            <w:vAlign w:val="center"/>
          </w:tcPr>
          <w:p w:rsidR="00CD0318" w:rsidRPr="003B455E" w:rsidRDefault="00CD0318" w:rsidP="00CD0318">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CD0318" w:rsidRDefault="00CD0318" w:rsidP="00CD0318">
            <w:pPr>
              <w:jc w:val="right"/>
              <w:rPr>
                <w:rFonts w:ascii="Calibri" w:hAnsi="Calibri" w:cs="Calibri"/>
                <w:color w:val="000000"/>
              </w:rPr>
            </w:pPr>
            <w:r>
              <w:rPr>
                <w:rFonts w:ascii="Calibri" w:hAnsi="Calibri" w:cs="Calibri"/>
                <w:color w:val="000000"/>
              </w:rPr>
              <w:t>2,37%</w:t>
            </w:r>
          </w:p>
        </w:tc>
        <w:tc>
          <w:tcPr>
            <w:tcW w:w="1705" w:type="dxa"/>
            <w:vAlign w:val="bottom"/>
          </w:tcPr>
          <w:p w:rsidR="00CD0318" w:rsidRDefault="00CD0318" w:rsidP="00CD0318">
            <w:pPr>
              <w:jc w:val="right"/>
              <w:rPr>
                <w:rFonts w:ascii="Calibri" w:hAnsi="Calibri" w:cs="Calibri"/>
                <w:color w:val="000000"/>
              </w:rPr>
            </w:pPr>
            <w:r>
              <w:rPr>
                <w:rFonts w:ascii="Calibri" w:hAnsi="Calibri" w:cs="Calibri"/>
                <w:color w:val="000000"/>
              </w:rPr>
              <w:t>0,37%</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CD031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D0318" w:rsidRPr="00CD0318">
        <w:rPr>
          <w:rFonts w:cstheme="minorHAnsi"/>
        </w:rPr>
        <w:t>298</w:t>
      </w:r>
      <w:r w:rsidR="00CD0318">
        <w:rPr>
          <w:rFonts w:cstheme="minorHAnsi"/>
        </w:rPr>
        <w:t xml:space="preserve"> </w:t>
      </w:r>
      <w:r w:rsidR="00CD0318" w:rsidRPr="00CD0318">
        <w:rPr>
          <w:rFonts w:cstheme="minorHAnsi"/>
        </w:rPr>
        <w:t>683,51</w:t>
      </w:r>
      <w:r w:rsidR="00CD0318">
        <w:rPr>
          <w:rFonts w:cstheme="minorHAnsi"/>
        </w:rPr>
        <w:t xml:space="preserve"> </w:t>
      </w:r>
      <w:r w:rsidRPr="00C50091">
        <w:rPr>
          <w:rFonts w:cstheme="minorHAnsi"/>
        </w:rPr>
        <w:t>рублей.</w:t>
      </w:r>
    </w:p>
    <w:p w:rsidR="00236A0E" w:rsidRPr="00C50091" w:rsidRDefault="00236A0E" w:rsidP="00CD031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CD0318" w:rsidRPr="00CD0318">
        <w:rPr>
          <w:rFonts w:cstheme="minorHAnsi"/>
        </w:rPr>
        <w:t>709</w:t>
      </w:r>
      <w:r w:rsidR="00CD0318">
        <w:rPr>
          <w:rFonts w:cstheme="minorHAnsi"/>
        </w:rPr>
        <w:t> </w:t>
      </w:r>
      <w:r w:rsidR="00CD0318" w:rsidRPr="00CD0318">
        <w:rPr>
          <w:rFonts w:cstheme="minorHAnsi"/>
        </w:rPr>
        <w:t>970</w:t>
      </w:r>
      <w:r w:rsidR="00CD0318">
        <w:rPr>
          <w:rFonts w:cstheme="minorHAnsi"/>
        </w:rPr>
        <w:t xml:space="preserve"> </w:t>
      </w:r>
      <w:bookmarkStart w:id="0" w:name="_GoBack"/>
      <w:bookmarkEnd w:id="0"/>
      <w:r w:rsidR="00CD0318" w:rsidRPr="00CD0318">
        <w:rPr>
          <w:rFonts w:cstheme="minorHAnsi"/>
        </w:rPr>
        <w:t>707,37</w:t>
      </w:r>
      <w:r w:rsidR="00BC1901">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361247"/>
    <w:rsid w:val="00434E39"/>
    <w:rsid w:val="004A5D79"/>
    <w:rsid w:val="00604E77"/>
    <w:rsid w:val="00903000"/>
    <w:rsid w:val="00A012C7"/>
    <w:rsid w:val="00BC1901"/>
    <w:rsid w:val="00CB7FAD"/>
    <w:rsid w:val="00CD0318"/>
    <w:rsid w:val="00DB7209"/>
    <w:rsid w:val="00E36902"/>
    <w:rsid w:val="00E7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23AC"/>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11</cp:revision>
  <dcterms:created xsi:type="dcterms:W3CDTF">2022-10-11T08:38:00Z</dcterms:created>
  <dcterms:modified xsi:type="dcterms:W3CDTF">2023-03-09T13:55:00Z</dcterms:modified>
</cp:coreProperties>
</file>