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00234420"/>
        <w:docPartObj>
          <w:docPartGallery w:val="Cover Pages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p w14:paraId="50CB534A" w14:textId="77777777" w:rsidR="009A0C06" w:rsidRPr="00B11C91" w:rsidRDefault="009A0C06" w:rsidP="00A15135">
          <w:pPr>
            <w:spacing w:after="120"/>
          </w:pPr>
        </w:p>
        <w:p w14:paraId="23471999" w14:textId="77777777" w:rsidR="001235A1" w:rsidRPr="00B11C91" w:rsidRDefault="001235A1" w:rsidP="00A15135">
          <w:pPr>
            <w:spacing w:after="120"/>
            <w:jc w:val="center"/>
            <w:rPr>
              <w:b/>
              <w:sz w:val="28"/>
              <w:szCs w:val="28"/>
            </w:rPr>
          </w:pPr>
          <w:r w:rsidRPr="00B11C91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67F738B" wp14:editId="62804C59">
                <wp:simplePos x="0" y="0"/>
                <wp:positionH relativeFrom="page">
                  <wp:posOffset>1035685</wp:posOffset>
                </wp:positionH>
                <wp:positionV relativeFrom="page">
                  <wp:posOffset>797560</wp:posOffset>
                </wp:positionV>
                <wp:extent cx="2247900" cy="30480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9ADC2A4" w14:textId="77777777" w:rsidR="001235A1" w:rsidRPr="00B11C91" w:rsidRDefault="001235A1" w:rsidP="00A15135">
          <w:pPr>
            <w:spacing w:after="120"/>
            <w:jc w:val="center"/>
            <w:rPr>
              <w:b/>
              <w:sz w:val="28"/>
              <w:szCs w:val="28"/>
            </w:rPr>
          </w:pPr>
        </w:p>
        <w:p w14:paraId="1A111966" w14:textId="77777777" w:rsidR="001235A1" w:rsidRPr="00B11C91" w:rsidRDefault="001235A1" w:rsidP="00A15135">
          <w:pPr>
            <w:spacing w:after="120"/>
            <w:jc w:val="center"/>
            <w:rPr>
              <w:b/>
              <w:sz w:val="28"/>
              <w:szCs w:val="28"/>
            </w:rPr>
          </w:pPr>
        </w:p>
        <w:p w14:paraId="1D080F6F" w14:textId="77777777" w:rsidR="001235A1" w:rsidRPr="00B11C91" w:rsidRDefault="001235A1" w:rsidP="00A15135">
          <w:pPr>
            <w:spacing w:after="120"/>
            <w:jc w:val="center"/>
            <w:rPr>
              <w:b/>
              <w:sz w:val="28"/>
              <w:szCs w:val="28"/>
            </w:rPr>
          </w:pPr>
        </w:p>
        <w:p w14:paraId="5944E3B3" w14:textId="77777777" w:rsidR="001235A1" w:rsidRPr="00B11C91" w:rsidRDefault="001235A1" w:rsidP="00A15135">
          <w:pPr>
            <w:spacing w:after="120"/>
            <w:jc w:val="center"/>
            <w:rPr>
              <w:b/>
              <w:sz w:val="28"/>
              <w:szCs w:val="28"/>
            </w:rPr>
          </w:pPr>
        </w:p>
        <w:p w14:paraId="42E023B7" w14:textId="77777777" w:rsidR="001235A1" w:rsidRPr="00B11C91" w:rsidRDefault="001235A1" w:rsidP="00A15135">
          <w:pPr>
            <w:spacing w:after="120"/>
            <w:jc w:val="center"/>
            <w:rPr>
              <w:b/>
              <w:sz w:val="28"/>
              <w:szCs w:val="28"/>
            </w:rPr>
          </w:pPr>
        </w:p>
        <w:p w14:paraId="2BC70D95" w14:textId="77777777" w:rsidR="001235A1" w:rsidRPr="00B11C91" w:rsidRDefault="001235A1" w:rsidP="00A15135">
          <w:pPr>
            <w:spacing w:after="120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0E60C867" w14:textId="77777777" w:rsidR="001235A1" w:rsidRPr="00B11C91" w:rsidRDefault="001235A1" w:rsidP="00A15135">
          <w:pPr>
            <w:spacing w:after="120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31F4BE88" w14:textId="77777777" w:rsidR="001235A1" w:rsidRPr="00B11C91" w:rsidRDefault="001235A1" w:rsidP="00A15135">
          <w:pPr>
            <w:spacing w:after="120"/>
            <w:jc w:val="center"/>
            <w:rPr>
              <w:rFonts w:ascii="Arial" w:hAnsi="Arial" w:cs="Arial"/>
              <w:b/>
              <w:sz w:val="36"/>
              <w:szCs w:val="22"/>
            </w:rPr>
          </w:pPr>
        </w:p>
        <w:p w14:paraId="6507689D" w14:textId="77777777" w:rsidR="001235A1" w:rsidRPr="00B11C91" w:rsidRDefault="001235A1" w:rsidP="00A15135">
          <w:pPr>
            <w:spacing w:after="120"/>
            <w:jc w:val="center"/>
            <w:rPr>
              <w:rFonts w:ascii="Arial" w:hAnsi="Arial" w:cs="Arial"/>
              <w:b/>
              <w:sz w:val="36"/>
              <w:szCs w:val="22"/>
            </w:rPr>
          </w:pPr>
        </w:p>
        <w:p w14:paraId="022E0F21" w14:textId="2409250F" w:rsidR="001235A1" w:rsidRPr="003B73A1" w:rsidRDefault="00466DDA" w:rsidP="00A15135">
          <w:pPr>
            <w:spacing w:after="120"/>
            <w:jc w:val="center"/>
            <w:rPr>
              <w:rFonts w:ascii="Arial" w:hAnsi="Arial" w:cs="Arial"/>
              <w:b/>
              <w:sz w:val="36"/>
              <w:szCs w:val="22"/>
            </w:rPr>
          </w:pPr>
          <w:r w:rsidRPr="00466DDA">
            <w:rPr>
              <w:rFonts w:ascii="Arial" w:hAnsi="Arial" w:cs="Arial"/>
              <w:b/>
              <w:sz w:val="36"/>
              <w:szCs w:val="22"/>
            </w:rPr>
            <w:t>Методика оценки индикаторов</w:t>
          </w:r>
          <w:r w:rsidR="000266A5">
            <w:rPr>
              <w:rFonts w:ascii="Arial" w:hAnsi="Arial" w:cs="Arial"/>
              <w:b/>
              <w:sz w:val="36"/>
              <w:szCs w:val="22"/>
            </w:rPr>
            <w:t xml:space="preserve"> доходности</w:t>
          </w:r>
          <w:r w:rsidRPr="00466DDA">
            <w:rPr>
              <w:rFonts w:ascii="Arial" w:hAnsi="Arial" w:cs="Arial"/>
              <w:b/>
              <w:sz w:val="36"/>
              <w:szCs w:val="22"/>
            </w:rPr>
            <w:t xml:space="preserve"> ПИФов </w:t>
          </w:r>
          <w:r w:rsidR="0000517D">
            <w:rPr>
              <w:rFonts w:ascii="Arial" w:hAnsi="Arial" w:cs="Arial"/>
              <w:b/>
              <w:sz w:val="36"/>
              <w:szCs w:val="22"/>
            </w:rPr>
            <w:t>ОО</w:t>
          </w:r>
          <w:r w:rsidR="000C000C">
            <w:rPr>
              <w:rFonts w:ascii="Arial" w:hAnsi="Arial" w:cs="Arial"/>
              <w:b/>
              <w:sz w:val="36"/>
              <w:szCs w:val="22"/>
            </w:rPr>
            <w:t>О</w:t>
          </w:r>
          <w:r w:rsidR="001235A1" w:rsidRPr="005A4506">
            <w:rPr>
              <w:rFonts w:ascii="Arial" w:hAnsi="Arial" w:cs="Arial"/>
              <w:b/>
              <w:sz w:val="36"/>
              <w:szCs w:val="22"/>
            </w:rPr>
            <w:t xml:space="preserve"> УК «АЛЬФА-КАПИТАЛ»</w:t>
          </w:r>
        </w:p>
        <w:p w14:paraId="3C0708E1" w14:textId="77777777" w:rsidR="001235A1" w:rsidRPr="00B11C91" w:rsidRDefault="001235A1" w:rsidP="00A15135">
          <w:pPr>
            <w:spacing w:after="120"/>
            <w:jc w:val="center"/>
            <w:rPr>
              <w:rFonts w:ascii="Arial" w:hAnsi="Arial" w:cs="Arial"/>
              <w:sz w:val="22"/>
              <w:szCs w:val="22"/>
            </w:rPr>
          </w:pPr>
        </w:p>
        <w:p w14:paraId="74EC79CD" w14:textId="5E0741F9" w:rsidR="001235A1" w:rsidRPr="0024249E" w:rsidRDefault="001235A1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  <w:r w:rsidRPr="00B11C91">
            <w:rPr>
              <w:rFonts w:ascii="Arial" w:hAnsi="Arial" w:cs="Arial"/>
              <w:szCs w:val="22"/>
            </w:rPr>
            <w:t xml:space="preserve">Версия </w:t>
          </w:r>
          <w:r w:rsidR="00C47254" w:rsidRPr="0024249E">
            <w:rPr>
              <w:rFonts w:ascii="Arial" w:hAnsi="Arial" w:cs="Arial"/>
              <w:szCs w:val="22"/>
            </w:rPr>
            <w:t>1</w:t>
          </w:r>
          <w:r w:rsidRPr="00B11C91">
            <w:rPr>
              <w:rFonts w:ascii="Arial" w:hAnsi="Arial" w:cs="Arial"/>
              <w:szCs w:val="22"/>
            </w:rPr>
            <w:t>.0</w:t>
          </w:r>
        </w:p>
        <w:p w14:paraId="45299294" w14:textId="47B379BD" w:rsidR="001235A1" w:rsidRPr="00B11C91" w:rsidRDefault="001235A1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4B521F07" w14:textId="77777777" w:rsidR="00C25853" w:rsidRPr="00B11C91" w:rsidRDefault="00C25853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66E91640" w14:textId="77777777" w:rsidR="001235A1" w:rsidRPr="00B11C91" w:rsidRDefault="001235A1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170770F7" w14:textId="77777777" w:rsidR="001235A1" w:rsidRPr="00B11C91" w:rsidRDefault="001235A1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138573CC" w14:textId="77777777" w:rsidR="00E90D5F" w:rsidRPr="00B11C91" w:rsidRDefault="00E90D5F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01B81834" w14:textId="77777777" w:rsidR="00E90D5F" w:rsidRPr="00B11C91" w:rsidRDefault="00E90D5F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0E85341F" w14:textId="77777777" w:rsidR="00E90D5F" w:rsidRPr="00B11C91" w:rsidRDefault="00E90D5F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272D49B4" w14:textId="62C14768" w:rsidR="00E90D5F" w:rsidRDefault="00E90D5F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2BDD44AA" w14:textId="629FE61A" w:rsidR="002736D5" w:rsidRDefault="002736D5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2B4B6410" w14:textId="064A93E1" w:rsidR="002736D5" w:rsidRDefault="002736D5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7617DEF3" w14:textId="0CD103AC" w:rsidR="002736D5" w:rsidRDefault="002736D5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49868678" w14:textId="48E19125" w:rsidR="002736D5" w:rsidRDefault="002736D5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108A1355" w14:textId="77777777" w:rsidR="002736D5" w:rsidRPr="00B11C91" w:rsidRDefault="002736D5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5BB77B6F" w14:textId="290741F1" w:rsidR="000C000C" w:rsidRDefault="000C000C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33472110" w14:textId="77777777" w:rsidR="000C000C" w:rsidRDefault="000C000C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11B8F7C5" w14:textId="77777777" w:rsidR="00645BE5" w:rsidRDefault="00645BE5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</w:p>
        <w:p w14:paraId="6D08A915" w14:textId="0005EA15" w:rsidR="001235A1" w:rsidRPr="00B11C91" w:rsidRDefault="001235A1" w:rsidP="00A15135">
          <w:pPr>
            <w:spacing w:after="120"/>
            <w:jc w:val="center"/>
            <w:rPr>
              <w:rFonts w:ascii="Arial" w:hAnsi="Arial" w:cs="Arial"/>
              <w:szCs w:val="22"/>
            </w:rPr>
          </w:pPr>
          <w:r w:rsidRPr="00B11C91">
            <w:rPr>
              <w:rFonts w:ascii="Arial" w:hAnsi="Arial" w:cs="Arial"/>
              <w:szCs w:val="22"/>
            </w:rPr>
            <w:t>Москва</w:t>
          </w:r>
        </w:p>
        <w:p w14:paraId="004B7914" w14:textId="46EDBAB5" w:rsidR="001235A1" w:rsidRPr="00466DDA" w:rsidRDefault="00850567" w:rsidP="00A15135">
          <w:pPr>
            <w:spacing w:after="120"/>
            <w:jc w:val="center"/>
            <w:rPr>
              <w:rFonts w:ascii="Arial" w:hAnsi="Arial" w:cs="Arial"/>
              <w:szCs w:val="22"/>
              <w:lang w:val="en-US"/>
            </w:rPr>
          </w:pPr>
          <w:r w:rsidRPr="00B11C91">
            <w:rPr>
              <w:rFonts w:ascii="Arial" w:hAnsi="Arial" w:cs="Arial"/>
              <w:szCs w:val="22"/>
            </w:rPr>
            <w:t>20</w:t>
          </w:r>
          <w:r w:rsidRPr="0000517D">
            <w:rPr>
              <w:rFonts w:ascii="Arial" w:hAnsi="Arial" w:cs="Arial"/>
              <w:szCs w:val="22"/>
            </w:rPr>
            <w:t>2</w:t>
          </w:r>
          <w:r w:rsidR="00466DDA">
            <w:rPr>
              <w:rFonts w:ascii="Arial" w:hAnsi="Arial" w:cs="Arial"/>
              <w:szCs w:val="22"/>
              <w:lang w:val="en-US"/>
            </w:rPr>
            <w:t>2</w:t>
          </w:r>
        </w:p>
        <w:p w14:paraId="1492FBE0" w14:textId="5692901B" w:rsidR="009A0C06" w:rsidRPr="00B11C91" w:rsidRDefault="00901DFA" w:rsidP="00A15135">
          <w:pPr>
            <w:spacing w:after="120"/>
            <w:rPr>
              <w:rFonts w:ascii="Arial" w:hAnsi="Arial" w:cs="Arial"/>
              <w:sz w:val="22"/>
              <w:szCs w:val="22"/>
            </w:rPr>
          </w:pPr>
        </w:p>
      </w:sdtContent>
    </w:sdt>
    <w:p w14:paraId="2119F8F6" w14:textId="77777777" w:rsidR="00420D2D" w:rsidRDefault="00420D2D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5D57ECA" w14:textId="5027C769" w:rsidR="00FB0A11" w:rsidRPr="00B11C91" w:rsidRDefault="00FB0A11" w:rsidP="00A15135">
      <w:pPr>
        <w:pStyle w:val="a3"/>
        <w:numPr>
          <w:ilvl w:val="0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11C91">
        <w:rPr>
          <w:rFonts w:ascii="Arial" w:hAnsi="Arial" w:cs="Arial"/>
          <w:b/>
          <w:sz w:val="22"/>
          <w:szCs w:val="22"/>
        </w:rPr>
        <w:lastRenderedPageBreak/>
        <w:t xml:space="preserve">ОБЩИЕ ПОЛОЖЕНИЯ </w:t>
      </w:r>
    </w:p>
    <w:p w14:paraId="574B0BA1" w14:textId="4FA4E898" w:rsidR="00466DDA" w:rsidRPr="00466DDA" w:rsidRDefault="00B61C7B" w:rsidP="00A15135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 w:rsidRPr="00B11C91">
        <w:rPr>
          <w:rFonts w:ascii="Arial" w:hAnsi="Arial" w:cs="Arial"/>
          <w:sz w:val="22"/>
          <w:szCs w:val="22"/>
        </w:rPr>
        <w:t xml:space="preserve">Настоящая методика </w:t>
      </w:r>
      <w:r w:rsidR="00F8286A" w:rsidRPr="00B11C91">
        <w:rPr>
          <w:rFonts w:ascii="Arial" w:hAnsi="Arial" w:cs="Arial"/>
          <w:sz w:val="22"/>
          <w:szCs w:val="22"/>
        </w:rPr>
        <w:t>(далее – «</w:t>
      </w:r>
      <w:r w:rsidR="00F8286A" w:rsidRPr="00B11C91">
        <w:rPr>
          <w:rFonts w:ascii="Arial" w:hAnsi="Arial" w:cs="Arial"/>
          <w:b/>
          <w:sz w:val="22"/>
          <w:szCs w:val="22"/>
        </w:rPr>
        <w:t>Методика</w:t>
      </w:r>
      <w:r w:rsidR="00F8286A" w:rsidRPr="00B11C91">
        <w:rPr>
          <w:rFonts w:ascii="Arial" w:hAnsi="Arial" w:cs="Arial"/>
          <w:sz w:val="22"/>
          <w:szCs w:val="22"/>
        </w:rPr>
        <w:t xml:space="preserve">») </w:t>
      </w:r>
      <w:r w:rsidR="00C47254">
        <w:rPr>
          <w:rFonts w:ascii="Arial" w:hAnsi="Arial" w:cs="Arial"/>
          <w:sz w:val="22"/>
          <w:szCs w:val="22"/>
        </w:rPr>
        <w:t xml:space="preserve">разработана в целях </w:t>
      </w:r>
      <w:r w:rsidR="00466DDA">
        <w:rPr>
          <w:rFonts w:ascii="Arial" w:hAnsi="Arial" w:cs="Arial"/>
          <w:sz w:val="22"/>
          <w:szCs w:val="22"/>
        </w:rPr>
        <w:t>определения четких принципов расчета показателей ожидаемых доходов для фондов</w:t>
      </w:r>
      <w:r w:rsidR="000266A5">
        <w:rPr>
          <w:rFonts w:ascii="Arial" w:hAnsi="Arial" w:cs="Arial"/>
          <w:sz w:val="22"/>
          <w:szCs w:val="22"/>
        </w:rPr>
        <w:t>, включая фонды</w:t>
      </w:r>
      <w:r w:rsidR="00466DDA">
        <w:rPr>
          <w:rFonts w:ascii="Arial" w:hAnsi="Arial" w:cs="Arial"/>
          <w:sz w:val="22"/>
          <w:szCs w:val="22"/>
        </w:rPr>
        <w:t xml:space="preserve"> с выплатой дохода.</w:t>
      </w:r>
    </w:p>
    <w:p w14:paraId="096FB5DB" w14:textId="329803B7" w:rsidR="00B61C7B" w:rsidRPr="00B11C91" w:rsidRDefault="00DA298B" w:rsidP="00A15135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Мет</w:t>
      </w:r>
      <w:r w:rsidR="007B65F2">
        <w:rPr>
          <w:rFonts w:ascii="Arial" w:hAnsi="Arial" w:cs="Arial"/>
          <w:sz w:val="22"/>
          <w:szCs w:val="22"/>
        </w:rPr>
        <w:t>одика</w:t>
      </w:r>
      <w:r w:rsidR="00B61C7B" w:rsidRPr="00B11C91">
        <w:rPr>
          <w:rFonts w:ascii="Arial" w:hAnsi="Arial" w:cs="Arial"/>
          <w:sz w:val="22"/>
          <w:szCs w:val="22"/>
        </w:rPr>
        <w:t xml:space="preserve"> </w:t>
      </w:r>
      <w:r w:rsidR="00466DDA">
        <w:rPr>
          <w:rFonts w:ascii="Arial" w:hAnsi="Arial" w:cs="Arial"/>
          <w:sz w:val="22"/>
          <w:szCs w:val="22"/>
        </w:rPr>
        <w:t xml:space="preserve">разработана Департаментом управления активами и </w:t>
      </w:r>
      <w:r w:rsidR="00B61C7B" w:rsidRPr="00B11C91">
        <w:rPr>
          <w:rFonts w:ascii="Arial" w:hAnsi="Arial" w:cs="Arial"/>
          <w:sz w:val="22"/>
          <w:szCs w:val="22"/>
        </w:rPr>
        <w:t xml:space="preserve">утверждается </w:t>
      </w:r>
      <w:r w:rsidR="00466DDA">
        <w:rPr>
          <w:rFonts w:ascii="Arial" w:hAnsi="Arial" w:cs="Arial"/>
          <w:sz w:val="22"/>
          <w:szCs w:val="22"/>
        </w:rPr>
        <w:t xml:space="preserve">Правлением. </w:t>
      </w:r>
    </w:p>
    <w:p w14:paraId="452F6DB3" w14:textId="722265BE" w:rsidR="00504D29" w:rsidRDefault="00F8286A" w:rsidP="00A15135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 w:rsidRPr="00B11C91">
        <w:rPr>
          <w:rFonts w:ascii="Arial" w:hAnsi="Arial" w:cs="Arial"/>
          <w:sz w:val="22"/>
          <w:szCs w:val="22"/>
        </w:rPr>
        <w:t>Методика</w:t>
      </w:r>
      <w:r w:rsidR="00A333DE" w:rsidRPr="00B11C91">
        <w:rPr>
          <w:rFonts w:ascii="Arial" w:hAnsi="Arial" w:cs="Arial"/>
          <w:sz w:val="22"/>
          <w:szCs w:val="22"/>
        </w:rPr>
        <w:t xml:space="preserve"> может быть пересмотрена в случае</w:t>
      </w:r>
      <w:r w:rsidR="00466DDA">
        <w:rPr>
          <w:rFonts w:ascii="Arial" w:hAnsi="Arial" w:cs="Arial"/>
          <w:sz w:val="22"/>
          <w:szCs w:val="22"/>
        </w:rPr>
        <w:t xml:space="preserve"> расширения круга задач, для которых применяется данная методика, изменения доступности данных для расчета показателей, предложений, улучшающих качество и стабильность оценок.</w:t>
      </w:r>
    </w:p>
    <w:p w14:paraId="1B97952E" w14:textId="2CA62E33" w:rsidR="001206C3" w:rsidRDefault="001206C3" w:rsidP="00A15135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Ответственность за полноту и корректность </w:t>
      </w:r>
      <w:r w:rsidR="000C31F7">
        <w:rPr>
          <w:rFonts w:ascii="Arial" w:hAnsi="Arial" w:cs="Arial"/>
          <w:sz w:val="22"/>
          <w:szCs w:val="22"/>
        </w:rPr>
        <w:t xml:space="preserve">предоставленных </w:t>
      </w:r>
      <w:r>
        <w:rPr>
          <w:rFonts w:ascii="Arial" w:hAnsi="Arial" w:cs="Arial"/>
          <w:sz w:val="22"/>
          <w:szCs w:val="22"/>
        </w:rPr>
        <w:t>данных, на основании которых проводится анализ несут ответственные подразделения Компании.</w:t>
      </w:r>
    </w:p>
    <w:p w14:paraId="7E471DE2" w14:textId="77777777" w:rsidR="00466DDA" w:rsidRDefault="00466DDA" w:rsidP="00466DDA">
      <w:pPr>
        <w:pStyle w:val="a3"/>
        <w:spacing w:after="120"/>
        <w:ind w:left="127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C545282" w14:textId="71799E94" w:rsidR="005F675B" w:rsidRDefault="005F675B" w:rsidP="00A15135">
      <w:pPr>
        <w:pStyle w:val="a3"/>
        <w:numPr>
          <w:ilvl w:val="0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ТЕРМИНЫ И ОПРЕДЕЛЕНИЯ</w:t>
      </w:r>
    </w:p>
    <w:p w14:paraId="387EA51F" w14:textId="0D2C3196" w:rsidR="000266A5" w:rsidRDefault="000266A5" w:rsidP="00466DDA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 w:rsidRPr="000266A5">
        <w:rPr>
          <w:rFonts w:ascii="Arial" w:hAnsi="Arial" w:cs="Arial"/>
          <w:b/>
          <w:sz w:val="22"/>
          <w:szCs w:val="22"/>
        </w:rPr>
        <w:t>Сценарные доходности ПИФа</w:t>
      </w:r>
      <w:r>
        <w:rPr>
          <w:rFonts w:ascii="Arial" w:hAnsi="Arial" w:cs="Arial"/>
          <w:sz w:val="22"/>
          <w:szCs w:val="22"/>
        </w:rPr>
        <w:t xml:space="preserve"> – рассчитанные на основе исторических результатов варианты средней доходности на горизонте 1 год при заданных предположениях данной методики.</w:t>
      </w:r>
    </w:p>
    <w:p w14:paraId="72A06F63" w14:textId="753FCC28" w:rsidR="000266A5" w:rsidRDefault="00EF50C6" w:rsidP="00466DDA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Базовая сценарная д</w:t>
      </w:r>
      <w:r w:rsidR="000266A5">
        <w:rPr>
          <w:rFonts w:ascii="Arial" w:hAnsi="Arial" w:cs="Arial"/>
          <w:b/>
          <w:sz w:val="22"/>
          <w:szCs w:val="22"/>
        </w:rPr>
        <w:t>оходность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266A5">
        <w:rPr>
          <w:rFonts w:ascii="Arial" w:hAnsi="Arial" w:cs="Arial"/>
          <w:sz w:val="22"/>
          <w:szCs w:val="22"/>
        </w:rPr>
        <w:t>– рассчитывается как результат инвестирования в данный фонд в % годовых за последние 5 лет</w:t>
      </w:r>
      <w:r w:rsidR="005849B5">
        <w:rPr>
          <w:rFonts w:ascii="Arial" w:hAnsi="Arial" w:cs="Arial"/>
          <w:sz w:val="22"/>
          <w:szCs w:val="22"/>
        </w:rPr>
        <w:t xml:space="preserve"> (260</w:t>
      </w:r>
      <w:r w:rsidR="005849B5" w:rsidRPr="005849B5">
        <w:rPr>
          <w:rFonts w:ascii="Arial" w:hAnsi="Arial" w:cs="Arial"/>
          <w:sz w:val="22"/>
          <w:szCs w:val="22"/>
        </w:rPr>
        <w:t xml:space="preserve"> </w:t>
      </w:r>
      <w:r w:rsidR="005849B5">
        <w:rPr>
          <w:rFonts w:ascii="Arial" w:hAnsi="Arial" w:cs="Arial"/>
          <w:sz w:val="22"/>
          <w:szCs w:val="22"/>
        </w:rPr>
        <w:t>недел</w:t>
      </w:r>
      <w:r w:rsidR="005849B5">
        <w:rPr>
          <w:rFonts w:ascii="Arial" w:hAnsi="Arial" w:cs="Arial"/>
          <w:sz w:val="22"/>
          <w:szCs w:val="22"/>
        </w:rPr>
        <w:t>ь</w:t>
      </w:r>
      <w:r w:rsidR="005849B5">
        <w:rPr>
          <w:rFonts w:ascii="Arial" w:hAnsi="Arial" w:cs="Arial"/>
          <w:sz w:val="22"/>
          <w:szCs w:val="22"/>
        </w:rPr>
        <w:t>)</w:t>
      </w:r>
      <w:r w:rsidR="000266A5">
        <w:rPr>
          <w:rFonts w:ascii="Arial" w:hAnsi="Arial" w:cs="Arial"/>
          <w:sz w:val="22"/>
          <w:szCs w:val="22"/>
        </w:rPr>
        <w:t xml:space="preserve"> при условии, что из расчета исключены 5% лучших и 5% худших по результатам календарных недель. </w:t>
      </w:r>
    </w:p>
    <w:p w14:paraId="4F1E091F" w14:textId="77C9C708" w:rsidR="000266A5" w:rsidRPr="000266A5" w:rsidRDefault="00EF50C6" w:rsidP="000266A5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Пессимистичная сценарная д</w:t>
      </w:r>
      <w:r w:rsidR="000266A5">
        <w:rPr>
          <w:rFonts w:ascii="Arial" w:hAnsi="Arial" w:cs="Arial"/>
          <w:b/>
          <w:sz w:val="22"/>
          <w:szCs w:val="22"/>
        </w:rPr>
        <w:t>оходность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266A5">
        <w:rPr>
          <w:rFonts w:ascii="Arial" w:hAnsi="Arial" w:cs="Arial"/>
          <w:sz w:val="22"/>
          <w:szCs w:val="22"/>
        </w:rPr>
        <w:t xml:space="preserve">– рассчитывается как результат инвестирования в данный фонд в % годовых за последние 5 лет </w:t>
      </w:r>
      <w:r w:rsidR="005849B5" w:rsidRPr="005849B5">
        <w:rPr>
          <w:rFonts w:ascii="Arial" w:hAnsi="Arial" w:cs="Arial"/>
          <w:sz w:val="22"/>
          <w:szCs w:val="22"/>
        </w:rPr>
        <w:t>(</w:t>
      </w:r>
      <w:r w:rsidR="005849B5">
        <w:rPr>
          <w:rFonts w:ascii="Arial" w:hAnsi="Arial" w:cs="Arial"/>
          <w:sz w:val="22"/>
          <w:szCs w:val="22"/>
        </w:rPr>
        <w:t>260</w:t>
      </w:r>
      <w:r w:rsidR="005849B5" w:rsidRPr="005849B5">
        <w:rPr>
          <w:rFonts w:ascii="Arial" w:hAnsi="Arial" w:cs="Arial"/>
          <w:sz w:val="22"/>
          <w:szCs w:val="22"/>
        </w:rPr>
        <w:t xml:space="preserve"> </w:t>
      </w:r>
      <w:r w:rsidR="005849B5">
        <w:rPr>
          <w:rFonts w:ascii="Arial" w:hAnsi="Arial" w:cs="Arial"/>
          <w:sz w:val="22"/>
          <w:szCs w:val="22"/>
        </w:rPr>
        <w:t>недель)</w:t>
      </w:r>
      <w:r w:rsidR="005849B5">
        <w:rPr>
          <w:rFonts w:ascii="Arial" w:hAnsi="Arial" w:cs="Arial"/>
          <w:sz w:val="22"/>
          <w:szCs w:val="22"/>
        </w:rPr>
        <w:t xml:space="preserve"> </w:t>
      </w:r>
      <w:r w:rsidR="000266A5">
        <w:rPr>
          <w:rFonts w:ascii="Arial" w:hAnsi="Arial" w:cs="Arial"/>
          <w:sz w:val="22"/>
          <w:szCs w:val="22"/>
        </w:rPr>
        <w:t>при условии, что и</w:t>
      </w:r>
      <w:r w:rsidR="000266A5">
        <w:rPr>
          <w:rFonts w:ascii="Arial" w:hAnsi="Arial" w:cs="Arial"/>
          <w:sz w:val="22"/>
          <w:szCs w:val="22"/>
        </w:rPr>
        <w:t xml:space="preserve">з расчета исключены 5% лучших </w:t>
      </w:r>
      <w:r w:rsidR="000266A5">
        <w:rPr>
          <w:rFonts w:ascii="Arial" w:hAnsi="Arial" w:cs="Arial"/>
          <w:sz w:val="22"/>
          <w:szCs w:val="22"/>
        </w:rPr>
        <w:t xml:space="preserve">по результатам календарных недель. </w:t>
      </w:r>
    </w:p>
    <w:p w14:paraId="523C4460" w14:textId="062FCBDC" w:rsidR="000266A5" w:rsidRPr="000266A5" w:rsidRDefault="00EF50C6" w:rsidP="000266A5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Оптимистичная сценарная д</w:t>
      </w:r>
      <w:r w:rsidR="000266A5">
        <w:rPr>
          <w:rFonts w:ascii="Arial" w:hAnsi="Arial" w:cs="Arial"/>
          <w:b/>
          <w:sz w:val="22"/>
          <w:szCs w:val="22"/>
        </w:rPr>
        <w:t>оходность</w:t>
      </w:r>
      <w:r w:rsidRPr="00EF50C6">
        <w:rPr>
          <w:rFonts w:ascii="Arial" w:hAnsi="Arial" w:cs="Arial"/>
          <w:b/>
          <w:sz w:val="22"/>
          <w:szCs w:val="22"/>
        </w:rPr>
        <w:t xml:space="preserve"> </w:t>
      </w:r>
      <w:r w:rsidR="000266A5">
        <w:rPr>
          <w:rFonts w:ascii="Arial" w:hAnsi="Arial" w:cs="Arial"/>
          <w:sz w:val="22"/>
          <w:szCs w:val="22"/>
        </w:rPr>
        <w:t xml:space="preserve">– рассчитывается как результат инвестирования в данный фонд в % годовых за последние 5 лет </w:t>
      </w:r>
      <w:r w:rsidR="005849B5" w:rsidRPr="005849B5">
        <w:rPr>
          <w:rFonts w:ascii="Arial" w:hAnsi="Arial" w:cs="Arial"/>
          <w:sz w:val="22"/>
          <w:szCs w:val="22"/>
        </w:rPr>
        <w:t>(</w:t>
      </w:r>
      <w:r w:rsidR="005849B5">
        <w:rPr>
          <w:rFonts w:ascii="Arial" w:hAnsi="Arial" w:cs="Arial"/>
          <w:sz w:val="22"/>
          <w:szCs w:val="22"/>
        </w:rPr>
        <w:t>260</w:t>
      </w:r>
      <w:r w:rsidR="005849B5" w:rsidRPr="005849B5">
        <w:rPr>
          <w:rFonts w:ascii="Arial" w:hAnsi="Arial" w:cs="Arial"/>
          <w:sz w:val="22"/>
          <w:szCs w:val="22"/>
        </w:rPr>
        <w:t xml:space="preserve"> </w:t>
      </w:r>
      <w:r w:rsidR="005849B5">
        <w:rPr>
          <w:rFonts w:ascii="Arial" w:hAnsi="Arial" w:cs="Arial"/>
          <w:sz w:val="22"/>
          <w:szCs w:val="22"/>
        </w:rPr>
        <w:t>недель)</w:t>
      </w:r>
      <w:r w:rsidR="005849B5">
        <w:rPr>
          <w:rFonts w:ascii="Arial" w:hAnsi="Arial" w:cs="Arial"/>
          <w:sz w:val="22"/>
          <w:szCs w:val="22"/>
        </w:rPr>
        <w:t xml:space="preserve"> </w:t>
      </w:r>
      <w:r w:rsidR="000266A5">
        <w:rPr>
          <w:rFonts w:ascii="Arial" w:hAnsi="Arial" w:cs="Arial"/>
          <w:sz w:val="22"/>
          <w:szCs w:val="22"/>
        </w:rPr>
        <w:t xml:space="preserve">при условии, что из расчета исключены 5% </w:t>
      </w:r>
      <w:r w:rsidR="000266A5">
        <w:rPr>
          <w:rFonts w:ascii="Arial" w:hAnsi="Arial" w:cs="Arial"/>
          <w:sz w:val="22"/>
          <w:szCs w:val="22"/>
        </w:rPr>
        <w:t>худших</w:t>
      </w:r>
      <w:r w:rsidR="000266A5">
        <w:rPr>
          <w:rFonts w:ascii="Arial" w:hAnsi="Arial" w:cs="Arial"/>
          <w:sz w:val="22"/>
          <w:szCs w:val="22"/>
        </w:rPr>
        <w:t xml:space="preserve"> по результатам календарных недель. </w:t>
      </w:r>
    </w:p>
    <w:p w14:paraId="2F2F92C3" w14:textId="4B341A3F" w:rsidR="000266A5" w:rsidRPr="000266A5" w:rsidRDefault="00EF50C6" w:rsidP="000266A5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Стрессовая сценарная д</w:t>
      </w:r>
      <w:r w:rsidR="000266A5">
        <w:rPr>
          <w:rFonts w:ascii="Arial" w:hAnsi="Arial" w:cs="Arial"/>
          <w:b/>
          <w:sz w:val="22"/>
          <w:szCs w:val="22"/>
        </w:rPr>
        <w:t xml:space="preserve">оходность </w:t>
      </w:r>
      <w:r w:rsidR="000266A5">
        <w:rPr>
          <w:rFonts w:ascii="Arial" w:hAnsi="Arial" w:cs="Arial"/>
          <w:sz w:val="22"/>
          <w:szCs w:val="22"/>
        </w:rPr>
        <w:t>– рассчитывается как результат инвестирования в данный фонд в % годовых за последние 5 лет</w:t>
      </w:r>
      <w:r w:rsidR="005849B5" w:rsidRPr="005849B5">
        <w:rPr>
          <w:rFonts w:ascii="Arial" w:hAnsi="Arial" w:cs="Arial"/>
          <w:sz w:val="22"/>
          <w:szCs w:val="22"/>
        </w:rPr>
        <w:t xml:space="preserve"> (</w:t>
      </w:r>
      <w:r w:rsidR="005849B5">
        <w:rPr>
          <w:rFonts w:ascii="Arial" w:hAnsi="Arial" w:cs="Arial"/>
          <w:sz w:val="22"/>
          <w:szCs w:val="22"/>
        </w:rPr>
        <w:t>260</w:t>
      </w:r>
      <w:r w:rsidR="005849B5" w:rsidRPr="005849B5">
        <w:rPr>
          <w:rFonts w:ascii="Arial" w:hAnsi="Arial" w:cs="Arial"/>
          <w:sz w:val="22"/>
          <w:szCs w:val="22"/>
        </w:rPr>
        <w:t xml:space="preserve"> </w:t>
      </w:r>
      <w:r w:rsidR="005849B5">
        <w:rPr>
          <w:rFonts w:ascii="Arial" w:hAnsi="Arial" w:cs="Arial"/>
          <w:sz w:val="22"/>
          <w:szCs w:val="22"/>
        </w:rPr>
        <w:t>недель</w:t>
      </w:r>
      <w:r w:rsidR="005849B5">
        <w:rPr>
          <w:rFonts w:ascii="Arial" w:hAnsi="Arial" w:cs="Arial"/>
          <w:sz w:val="22"/>
          <w:szCs w:val="22"/>
        </w:rPr>
        <w:t>)</w:t>
      </w:r>
      <w:r w:rsidR="000266A5">
        <w:rPr>
          <w:rFonts w:ascii="Arial" w:hAnsi="Arial" w:cs="Arial"/>
          <w:sz w:val="22"/>
          <w:szCs w:val="22"/>
        </w:rPr>
        <w:t xml:space="preserve"> при условии, что из расчета исключены </w:t>
      </w:r>
      <w:r w:rsidR="005849B5">
        <w:rPr>
          <w:rFonts w:ascii="Arial" w:hAnsi="Arial" w:cs="Arial"/>
          <w:sz w:val="22"/>
          <w:szCs w:val="22"/>
        </w:rPr>
        <w:t>25</w:t>
      </w:r>
      <w:r w:rsidR="000266A5">
        <w:rPr>
          <w:rFonts w:ascii="Arial" w:hAnsi="Arial" w:cs="Arial"/>
          <w:sz w:val="22"/>
          <w:szCs w:val="22"/>
        </w:rPr>
        <w:t xml:space="preserve">% лучших по результатам календарных недель. </w:t>
      </w:r>
    </w:p>
    <w:p w14:paraId="61AEB940" w14:textId="77E21CFA" w:rsidR="00466DDA" w:rsidRDefault="00466DDA" w:rsidP="00466DDA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 w:rsidRPr="00466DDA">
        <w:rPr>
          <w:rFonts w:ascii="Arial" w:hAnsi="Arial" w:cs="Arial"/>
          <w:b/>
          <w:sz w:val="22"/>
          <w:szCs w:val="22"/>
        </w:rPr>
        <w:t>Денежная доходность ПИФа</w:t>
      </w:r>
      <w:r w:rsidRPr="00466DDA">
        <w:rPr>
          <w:rFonts w:ascii="Arial" w:hAnsi="Arial" w:cs="Arial"/>
          <w:sz w:val="22"/>
          <w:szCs w:val="22"/>
        </w:rPr>
        <w:t xml:space="preserve"> – размер денежных выплат на 1 пай за период, выраженный в % от стоимости пая на начало периода</w:t>
      </w:r>
    </w:p>
    <w:p w14:paraId="4BA3FEA6" w14:textId="77777777" w:rsidR="00466DDA" w:rsidRDefault="00466DDA" w:rsidP="00466DDA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 w:rsidRPr="00466DDA">
        <w:rPr>
          <w:rFonts w:ascii="Arial" w:hAnsi="Arial" w:cs="Arial"/>
          <w:b/>
          <w:sz w:val="22"/>
          <w:szCs w:val="22"/>
        </w:rPr>
        <w:t xml:space="preserve">Историческая денежная доходность ПИФа </w:t>
      </w:r>
      <w:r w:rsidRPr="00466DDA">
        <w:rPr>
          <w:rFonts w:ascii="Arial" w:hAnsi="Arial" w:cs="Arial"/>
          <w:sz w:val="22"/>
          <w:szCs w:val="22"/>
        </w:rPr>
        <w:t>- размер денежных выплат на 1 пай за период, выраженный в % от стоимости пая на конец периода</w:t>
      </w:r>
    </w:p>
    <w:p w14:paraId="2E7D4CE0" w14:textId="77777777" w:rsidR="00466DDA" w:rsidRDefault="00466DDA" w:rsidP="00466DDA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 w:rsidRPr="00466DDA">
        <w:rPr>
          <w:rFonts w:ascii="Arial" w:hAnsi="Arial" w:cs="Arial"/>
          <w:b/>
          <w:sz w:val="22"/>
          <w:szCs w:val="22"/>
        </w:rPr>
        <w:t>Индикативная базовая денежная доходность ПИФа</w:t>
      </w:r>
      <w:r w:rsidRPr="00466DDA">
        <w:rPr>
          <w:rFonts w:ascii="Arial" w:hAnsi="Arial" w:cs="Arial"/>
          <w:sz w:val="22"/>
          <w:szCs w:val="22"/>
        </w:rPr>
        <w:t xml:space="preserve"> – размер денежных выплат пайщикам в расчете на 1 пай в базовом сценарии на горизонте рассматриваемого периода в % от текущей стоимости пая. Рассчитывается исходя из условий: удержания текущего портфеля в фонде, отсутствия существенных вводов и выводов, отсутствия дефолтов по облигациям, неизмености купонов по облигациям (где предусмотрено их изменение), дивидендов по акциям компаний в портфеле в размере равном дивидендам за последние 12 месяцев (с учетом дробления, объединения и других корпоративных событий).</w:t>
      </w:r>
    </w:p>
    <w:p w14:paraId="188B9539" w14:textId="77777777" w:rsidR="00466DDA" w:rsidRDefault="00466DDA" w:rsidP="00466DDA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 w:rsidRPr="00466DDA">
        <w:rPr>
          <w:rFonts w:ascii="Arial" w:hAnsi="Arial" w:cs="Arial"/>
          <w:b/>
          <w:sz w:val="22"/>
          <w:szCs w:val="22"/>
        </w:rPr>
        <w:t>Индикативная денежная доходность ПИФа при негативном сценарии</w:t>
      </w:r>
      <w:r w:rsidRPr="00466DDA">
        <w:rPr>
          <w:rFonts w:ascii="Arial" w:hAnsi="Arial" w:cs="Arial"/>
          <w:sz w:val="22"/>
          <w:szCs w:val="22"/>
        </w:rPr>
        <w:t xml:space="preserve"> рассчитывается исходя из предположения сокращения размера дивидендов на 50%, снижения поступлений по купонам облигаций на 10% относительно базового сценария и притоков в фонд, обеспечивших увеличение СЧА на 30% за период.</w:t>
      </w:r>
    </w:p>
    <w:p w14:paraId="6026A7F2" w14:textId="77777777" w:rsidR="00466DDA" w:rsidRDefault="00466DDA" w:rsidP="00466DDA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 w:rsidRPr="00466DDA">
        <w:rPr>
          <w:rFonts w:ascii="Arial" w:hAnsi="Arial" w:cs="Arial"/>
          <w:b/>
          <w:sz w:val="22"/>
          <w:szCs w:val="22"/>
        </w:rPr>
        <w:t>Индикативная денежная доходность ПИФа при позитивном сценарии</w:t>
      </w:r>
      <w:r w:rsidRPr="00466DDA">
        <w:rPr>
          <w:rFonts w:ascii="Arial" w:hAnsi="Arial" w:cs="Arial"/>
          <w:sz w:val="22"/>
          <w:szCs w:val="22"/>
        </w:rPr>
        <w:t xml:space="preserve"> рассчитывается исходя из предположения увеличения размера дивидендов на 50% относительно базового сценария, поступлений по купонам облигаций аналогичных базовому сценарию и притоков в фонд, обеспечивших снижение СЧА на 30% за период.</w:t>
      </w:r>
    </w:p>
    <w:p w14:paraId="2EA83788" w14:textId="77777777" w:rsidR="00466DDA" w:rsidRDefault="00466DDA" w:rsidP="00466DDA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 w:rsidRPr="00466DDA">
        <w:rPr>
          <w:rFonts w:ascii="Arial" w:hAnsi="Arial" w:cs="Arial"/>
          <w:b/>
          <w:sz w:val="22"/>
          <w:szCs w:val="22"/>
        </w:rPr>
        <w:lastRenderedPageBreak/>
        <w:t>Капитализированная денежная доходность ПИФа</w:t>
      </w:r>
      <w:r w:rsidRPr="00466DDA">
        <w:rPr>
          <w:rFonts w:ascii="Arial" w:hAnsi="Arial" w:cs="Arial"/>
          <w:sz w:val="22"/>
          <w:szCs w:val="22"/>
        </w:rPr>
        <w:t xml:space="preserve"> – отклонение расчетной денежной доходности ПИФа при условии отсутствия вводов-выводов от фактической денежной доходности ПИФа.</w:t>
      </w:r>
    </w:p>
    <w:p w14:paraId="178AEA9D" w14:textId="6022B5E0" w:rsidR="00466DDA" w:rsidRPr="00466DDA" w:rsidRDefault="00466DDA" w:rsidP="00466DDA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 w:rsidRPr="00466DDA">
        <w:rPr>
          <w:rFonts w:ascii="Arial" w:hAnsi="Arial" w:cs="Arial"/>
          <w:b/>
          <w:sz w:val="22"/>
          <w:szCs w:val="22"/>
        </w:rPr>
        <w:t>Полная доходность ПИФа</w:t>
      </w:r>
      <w:r w:rsidRPr="00466DDA">
        <w:rPr>
          <w:rFonts w:ascii="Arial" w:hAnsi="Arial" w:cs="Arial"/>
          <w:sz w:val="22"/>
          <w:szCs w:val="22"/>
        </w:rPr>
        <w:t xml:space="preserve"> – доходность от инвестирования в ПИФ при реинвестировании в него всех выплачиваемых доходов</w:t>
      </w:r>
    </w:p>
    <w:p w14:paraId="61C58C66" w14:textId="77777777" w:rsidR="005F675B" w:rsidRDefault="005F675B" w:rsidP="005F675B">
      <w:pPr>
        <w:pStyle w:val="a3"/>
        <w:spacing w:after="120"/>
        <w:ind w:left="1276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9AE721B" w14:textId="28589D00" w:rsidR="003C55A1" w:rsidRPr="00B11C91" w:rsidRDefault="00466DDA" w:rsidP="00A15135">
      <w:pPr>
        <w:pStyle w:val="a3"/>
        <w:numPr>
          <w:ilvl w:val="0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АЛГОРИТМЫ РАСЧЕТА ПОКАЗАТЕЛЕЙ</w:t>
      </w:r>
    </w:p>
    <w:p w14:paraId="46D514F5" w14:textId="0011213C" w:rsidR="00EF50C6" w:rsidRDefault="00EF50C6" w:rsidP="00466DDA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Базовая сценарная доходность ПИФа</w:t>
      </w:r>
    </w:p>
    <w:p w14:paraId="2C34AE0D" w14:textId="145508D5" w:rsidR="00EF50C6" w:rsidRDefault="00EF50C6" w:rsidP="00EF50C6">
      <w:pPr>
        <w:pStyle w:val="a3"/>
        <w:spacing w:after="120"/>
        <w:ind w:left="1080"/>
        <w:contextualSpacing w:val="0"/>
        <w:jc w:val="both"/>
        <w:rPr>
          <w:rFonts w:ascii="Arial" w:eastAsiaTheme="minorEastAsia" w:hAnsi="Arial" w:cs="Arial"/>
          <w:i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lang w:val="en-US"/>
              </w:rPr>
              <m:t>base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dPr>
              <m:e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Arial"/>
                      </w:rPr>
                      <m:t>=14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247</m:t>
                    </m:r>
                  </m:sup>
                  <m:e>
                    <m:r>
                      <w:rPr>
                        <w:rFonts w:ascii="Cambria Math" w:hAnsi="Cambria Math" w:cs="Arial"/>
                      </w:rPr>
                      <m:t>(1+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w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)</m:t>
                    </m:r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52</m:t>
                </m:r>
              </m:num>
              <m:den>
                <m:r>
                  <w:rPr>
                    <w:rFonts w:ascii="Cambria Math" w:hAnsi="Cambria Math" w:cs="Arial"/>
                  </w:rPr>
                  <m:t>23</m:t>
                </m:r>
                <m:r>
                  <w:rPr>
                    <w:rFonts w:ascii="Cambria Math" w:hAnsi="Cambria Math" w:cs="Arial"/>
                  </w:rPr>
                  <m:t>4</m:t>
                </m:r>
              </m:den>
            </m:f>
          </m:sup>
        </m:sSup>
      </m:oMath>
      <w:r w:rsidR="005849B5" w:rsidRPr="005849B5">
        <w:rPr>
          <w:rFonts w:ascii="Arial" w:eastAsiaTheme="minorEastAsia" w:hAnsi="Arial" w:cs="Arial"/>
        </w:rPr>
        <w:t>,</w:t>
      </w:r>
      <w:r w:rsidR="005849B5" w:rsidRPr="005849B5">
        <w:rPr>
          <w:rFonts w:ascii="Arial" w:eastAsiaTheme="minorEastAsia" w:hAnsi="Arial" w:cs="Arial"/>
          <w:i/>
        </w:rPr>
        <w:t xml:space="preserve"> </w:t>
      </w:r>
      <w:r w:rsidR="005849B5" w:rsidRPr="005849B5">
        <w:rPr>
          <w:rFonts w:ascii="Arial" w:eastAsiaTheme="minorEastAsia" w:hAnsi="Arial" w:cs="Arial"/>
        </w:rPr>
        <w:t>где</w:t>
      </w:r>
    </w:p>
    <w:p w14:paraId="762EBBC0" w14:textId="77777777" w:rsidR="005849B5" w:rsidRDefault="005849B5" w:rsidP="00EF50C6">
      <w:pPr>
        <w:pStyle w:val="a3"/>
        <w:spacing w:after="120"/>
        <w:ind w:left="1080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  <m:sup>
            <m:r>
              <w:rPr>
                <w:rFonts w:ascii="Cambria Math" w:hAnsi="Cambria Math" w:cs="Arial"/>
                <w:lang w:val="en-US"/>
              </w:rPr>
              <m:t>w</m:t>
            </m:r>
          </m:sup>
        </m:sSubSup>
      </m:oMath>
      <w:r>
        <w:rPr>
          <w:rFonts w:ascii="Arial" w:eastAsiaTheme="minorEastAsia" w:hAnsi="Arial" w:cs="Arial"/>
        </w:rPr>
        <w:t xml:space="preserve"> – упорядоченные по</w:t>
      </w:r>
      <w:r w:rsidRPr="005849B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возрастанию недельные результаты инвестирования в фонд, равные сумме изменения стоимости пая в % фонда и дохода, начисленного на 1 пай в эту неделю в % от цены пая на начало недели. </w:t>
      </w:r>
    </w:p>
    <w:p w14:paraId="6DE8BB20" w14:textId="06066B01" w:rsidR="005849B5" w:rsidRPr="005849B5" w:rsidRDefault="005849B5" w:rsidP="00EF50C6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lang w:val="en-US"/>
              </w:rPr>
              <m:t>i+1</m:t>
            </m:r>
          </m:sub>
          <m:sup>
            <m:r>
              <w:rPr>
                <w:rFonts w:ascii="Cambria Math" w:hAnsi="Cambria Math" w:cs="Arial"/>
                <w:lang w:val="en-US"/>
              </w:rPr>
              <m:t>w</m:t>
            </m:r>
          </m:sup>
        </m:sSubSup>
        <m:r>
          <w:rPr>
            <w:rFonts w:ascii="Cambria Math" w:eastAsiaTheme="minorEastAsia" w:hAnsi="Cambria Math" w:cs="Arial"/>
            <w:lang w:val="en-US"/>
          </w:rPr>
          <m:t>≥</m:t>
        </m:r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  <m:sup>
            <m:r>
              <w:rPr>
                <w:rFonts w:ascii="Cambria Math" w:hAnsi="Cambria Math" w:cs="Arial"/>
                <w:lang w:val="en-US"/>
              </w:rPr>
              <m:t>w</m:t>
            </m:r>
          </m:sup>
        </m:sSubSup>
      </m:oMath>
      <w:r>
        <w:rPr>
          <w:rFonts w:ascii="Arial" w:eastAsiaTheme="minorEastAsia" w:hAnsi="Arial" w:cs="Arial"/>
        </w:rPr>
        <w:t xml:space="preserve"> </w:t>
      </w:r>
    </w:p>
    <w:p w14:paraId="5D2FD00E" w14:textId="58C5FDFF" w:rsidR="00901DFA" w:rsidRDefault="00901DFA" w:rsidP="00901DFA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Пессимистичная</w:t>
      </w:r>
      <w:r>
        <w:rPr>
          <w:rFonts w:ascii="Arial" w:hAnsi="Arial" w:cs="Arial"/>
        </w:rPr>
        <w:t xml:space="preserve"> сценарная доходность ПИФа</w:t>
      </w:r>
    </w:p>
    <w:p w14:paraId="0E4D85C7" w14:textId="28845925" w:rsidR="00901DFA" w:rsidRDefault="00901DFA" w:rsidP="00901DFA">
      <w:pPr>
        <w:pStyle w:val="a3"/>
        <w:spacing w:after="120"/>
        <w:ind w:left="1080"/>
        <w:contextualSpacing w:val="0"/>
        <w:jc w:val="both"/>
        <w:rPr>
          <w:rFonts w:ascii="Arial" w:eastAsiaTheme="minorEastAsia" w:hAnsi="Arial" w:cs="Arial"/>
          <w:i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lang w:val="en-US"/>
              </w:rPr>
              <m:t>neg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dPr>
              <m:e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Arial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247</m:t>
                    </m:r>
                  </m:sup>
                  <m:e>
                    <m:r>
                      <w:rPr>
                        <w:rFonts w:ascii="Cambria Math" w:hAnsi="Cambria Math" w:cs="Arial"/>
                      </w:rPr>
                      <m:t>(1+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w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)</m:t>
                    </m:r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lang w:val="en-US"/>
                  </w:rPr>
                  <m:t>52</m:t>
                </m:r>
              </m:num>
              <m:den>
                <m:r>
                  <w:rPr>
                    <w:rFonts w:ascii="Cambria Math" w:hAnsi="Cambria Math" w:cs="Arial"/>
                    <w:lang w:val="en-US"/>
                  </w:rPr>
                  <m:t>247</m:t>
                </m:r>
              </m:den>
            </m:f>
          </m:sup>
        </m:sSup>
      </m:oMath>
      <w:r>
        <w:rPr>
          <w:rFonts w:ascii="Arial" w:eastAsiaTheme="minorEastAsia" w:hAnsi="Arial" w:cs="Arial"/>
        </w:rPr>
        <w:t xml:space="preserve"> </w:t>
      </w:r>
    </w:p>
    <w:p w14:paraId="5DF6870E" w14:textId="3E226877" w:rsidR="00901DFA" w:rsidRDefault="00901DFA" w:rsidP="00901DFA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Оптимистичная</w:t>
      </w:r>
      <w:r>
        <w:rPr>
          <w:rFonts w:ascii="Arial" w:hAnsi="Arial" w:cs="Arial"/>
        </w:rPr>
        <w:t xml:space="preserve"> сценарная доходность ПИФа</w:t>
      </w:r>
    </w:p>
    <w:p w14:paraId="55A814C7" w14:textId="0E5D3F6E" w:rsidR="00901DFA" w:rsidRDefault="00901DFA" w:rsidP="00901DFA">
      <w:pPr>
        <w:pStyle w:val="a3"/>
        <w:spacing w:after="120"/>
        <w:ind w:left="1080"/>
        <w:contextualSpacing w:val="0"/>
        <w:jc w:val="both"/>
        <w:rPr>
          <w:rFonts w:ascii="Arial" w:eastAsiaTheme="minorEastAsia" w:hAnsi="Arial" w:cs="Arial"/>
          <w:i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lang w:val="en-US"/>
              </w:rPr>
              <m:t>pos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dPr>
              <m:e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Arial"/>
                      </w:rPr>
                      <m:t>=1</m:t>
                    </m:r>
                    <m:r>
                      <w:rPr>
                        <w:rFonts w:ascii="Cambria Math" w:hAnsi="Cambria Math" w:cs="Arial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260</m:t>
                    </m:r>
                  </m:sup>
                  <m:e>
                    <m:r>
                      <w:rPr>
                        <w:rFonts w:ascii="Cambria Math" w:hAnsi="Cambria Math" w:cs="Arial"/>
                      </w:rPr>
                      <m:t>(1+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w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)</m:t>
                    </m:r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lang w:val="en-US"/>
                  </w:rPr>
                  <m:t>52</m:t>
                </m:r>
              </m:num>
              <m:den>
                <m:r>
                  <w:rPr>
                    <w:rFonts w:ascii="Cambria Math" w:hAnsi="Cambria Math" w:cs="Arial"/>
                    <w:lang w:val="en-US"/>
                  </w:rPr>
                  <m:t>247</m:t>
                </m:r>
              </m:den>
            </m:f>
          </m:sup>
        </m:sSup>
      </m:oMath>
      <w:r>
        <w:rPr>
          <w:rFonts w:ascii="Arial" w:eastAsiaTheme="minorEastAsia" w:hAnsi="Arial" w:cs="Arial"/>
        </w:rPr>
        <w:t xml:space="preserve"> </w:t>
      </w:r>
    </w:p>
    <w:p w14:paraId="19D28F33" w14:textId="31458237" w:rsidR="00901DFA" w:rsidRDefault="00901DFA" w:rsidP="00901DFA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Стрессовая</w:t>
      </w:r>
      <w:r>
        <w:rPr>
          <w:rFonts w:ascii="Arial" w:hAnsi="Arial" w:cs="Arial"/>
        </w:rPr>
        <w:t xml:space="preserve"> сценарная доходность ПИФа</w:t>
      </w:r>
    </w:p>
    <w:p w14:paraId="3DCC5844" w14:textId="3FA4EACB" w:rsidR="00901DFA" w:rsidRDefault="00901DFA" w:rsidP="00901DFA">
      <w:pPr>
        <w:pStyle w:val="a3"/>
        <w:spacing w:after="120"/>
        <w:ind w:left="1080"/>
        <w:contextualSpacing w:val="0"/>
        <w:jc w:val="both"/>
        <w:rPr>
          <w:rFonts w:ascii="Arial" w:eastAsiaTheme="minorEastAsia" w:hAnsi="Arial" w:cs="Arial"/>
          <w:i/>
        </w:rPr>
      </w:pP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R</m:t>
            </m:r>
          </m:e>
          <m:sub>
            <m:r>
              <w:rPr>
                <w:rFonts w:ascii="Cambria Math" w:hAnsi="Cambria Math" w:cs="Arial"/>
                <w:lang w:val="en-US"/>
              </w:rPr>
              <m:t>pos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dPr>
              <m:e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Arial"/>
                      </w:rPr>
                      <m:t>=</m:t>
                    </m:r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Arial"/>
                        <w:lang w:val="en-US"/>
                      </w:rPr>
                      <m:t>200</m:t>
                    </m:r>
                  </m:sup>
                  <m:e>
                    <m:r>
                      <w:rPr>
                        <w:rFonts w:ascii="Cambria Math" w:hAnsi="Cambria Math" w:cs="Arial"/>
                      </w:rPr>
                      <m:t>(1+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w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)</m:t>
                    </m:r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lang w:val="en-US"/>
                  </w:rPr>
                  <m:t>52</m:t>
                </m:r>
              </m:num>
              <m:den>
                <m:r>
                  <w:rPr>
                    <w:rFonts w:ascii="Cambria Math" w:hAnsi="Cambria Math" w:cs="Arial"/>
                    <w:lang w:val="en-US"/>
                  </w:rPr>
                  <m:t>200</m:t>
                </m:r>
              </m:den>
            </m:f>
          </m:sup>
        </m:sSup>
      </m:oMath>
      <w:r>
        <w:rPr>
          <w:rFonts w:ascii="Arial" w:eastAsiaTheme="minorEastAsia" w:hAnsi="Arial" w:cs="Arial"/>
        </w:rPr>
        <w:t xml:space="preserve"> </w:t>
      </w:r>
    </w:p>
    <w:p w14:paraId="53A38C57" w14:textId="77777777" w:rsidR="005849B5" w:rsidRPr="005849B5" w:rsidRDefault="005849B5" w:rsidP="00EF50C6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</w:p>
    <w:p w14:paraId="4A710BDA" w14:textId="73A61DE0" w:rsidR="00466DDA" w:rsidRDefault="00466DDA" w:rsidP="00466DDA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693B">
        <w:rPr>
          <w:rFonts w:ascii="Arial" w:hAnsi="Arial" w:cs="Arial"/>
        </w:rPr>
        <w:t xml:space="preserve">Денежная доходность ПИФа за </w:t>
      </w:r>
      <w:bookmarkStart w:id="0" w:name="_GoBack"/>
      <w:bookmarkEnd w:id="0"/>
      <w:r w:rsidRPr="0075693B">
        <w:rPr>
          <w:rFonts w:ascii="Arial" w:hAnsi="Arial" w:cs="Arial"/>
        </w:rPr>
        <w:t>период</w:t>
      </w:r>
    </w:p>
    <w:p w14:paraId="6BC24E5B" w14:textId="77777777" w:rsidR="00466DDA" w:rsidRDefault="00901DFA" w:rsidP="00466DDA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RCF</m:t>
            </m:r>
          </m:e>
          <m:sub/>
          <m:sup>
            <m:r>
              <w:rPr>
                <w:rFonts w:ascii="Cambria Math" w:hAnsi="Cambria Math" w:cs="Arial"/>
              </w:rPr>
              <m:t>F</m:t>
            </m:r>
          </m:sup>
        </m:sSubSup>
        <m:r>
          <m:rPr>
            <m:sty m:val="p"/>
          </m:rPr>
          <w:rPr>
            <w:rFonts w:ascii="Cambria Math" w:hAnsi="Cambria Math" w:cs="Arial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</w:rPr>
            </m:ctrlPr>
          </m:naryPr>
          <m:sub>
            <m:r>
              <w:rPr>
                <w:rFonts w:ascii="Cambria Math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hAnsi="Cambria Math" w:cs="Arial"/>
              </w:rPr>
              <m:t>=1</m:t>
            </m:r>
          </m:sub>
          <m:sup>
            <m:r>
              <w:rPr>
                <w:rFonts w:ascii="Cambria Math" w:hAnsi="Cambria Math" w:cs="Arial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NAV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</m:den>
            </m:f>
          </m:e>
        </m:nary>
      </m:oMath>
      <w:r w:rsidR="00466DDA" w:rsidRPr="00466DDA">
        <w:rPr>
          <w:rFonts w:ascii="Arial" w:hAnsi="Arial" w:cs="Arial"/>
        </w:rPr>
        <w:t xml:space="preserve"> , где </w:t>
      </w:r>
    </w:p>
    <w:p w14:paraId="6EFF8FFE" w14:textId="77777777" w:rsidR="00466DDA" w:rsidRDefault="00901DFA" w:rsidP="00466DDA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CF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</m:oMath>
      <w:r w:rsidR="00466DDA" w:rsidRPr="00466DDA">
        <w:rPr>
          <w:rFonts w:ascii="Arial" w:hAnsi="Arial" w:cs="Arial"/>
        </w:rPr>
        <w:t xml:space="preserve"> – денежные доходы (купоны, дивиденды), поступившие в фонд (учтенные в активах фонда в день t)</w:t>
      </w:r>
    </w:p>
    <w:p w14:paraId="0AF84E31" w14:textId="15BAE170" w:rsidR="00466DDA" w:rsidRDefault="00901DFA" w:rsidP="00466DDA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NAV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0</m:t>
            </m:r>
          </m:sub>
        </m:sSub>
      </m:oMath>
      <w:r w:rsidR="00466DDA" w:rsidRPr="00466DDA">
        <w:rPr>
          <w:rFonts w:ascii="Arial" w:hAnsi="Arial" w:cs="Arial"/>
        </w:rPr>
        <w:t xml:space="preserve"> – Стоимо</w:t>
      </w:r>
      <w:r w:rsidR="00EF50C6">
        <w:rPr>
          <w:rFonts w:ascii="Arial" w:hAnsi="Arial" w:cs="Arial"/>
        </w:rPr>
        <w:t>с</w:t>
      </w:r>
      <w:r w:rsidR="00466DDA" w:rsidRPr="00466DDA">
        <w:rPr>
          <w:rFonts w:ascii="Arial" w:hAnsi="Arial" w:cs="Arial"/>
        </w:rPr>
        <w:t xml:space="preserve">ть чистых активов фонда на последний день перед началом периода </w:t>
      </w:r>
    </w:p>
    <w:p w14:paraId="55F90211" w14:textId="06DA97A5" w:rsidR="00466DDA" w:rsidRPr="00466DDA" w:rsidRDefault="00466DDA" w:rsidP="00466DDA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T</m:t>
        </m:r>
      </m:oMath>
      <w:r w:rsidRPr="00466DDA">
        <w:rPr>
          <w:rFonts w:ascii="Arial" w:hAnsi="Arial" w:cs="Arial"/>
        </w:rPr>
        <w:t xml:space="preserve"> – число дней в рассматриваемом периоде</w:t>
      </w:r>
    </w:p>
    <w:p w14:paraId="4CD13AFD" w14:textId="77777777" w:rsidR="00466DDA" w:rsidRPr="0075693B" w:rsidRDefault="00466DDA" w:rsidP="00466DDA">
      <w:pPr>
        <w:pStyle w:val="a3"/>
        <w:spacing w:after="120"/>
        <w:ind w:left="1276" w:hanging="916"/>
        <w:contextualSpacing w:val="0"/>
        <w:jc w:val="both"/>
        <w:rPr>
          <w:rFonts w:ascii="Arial" w:hAnsi="Arial" w:cs="Arial"/>
        </w:rPr>
      </w:pPr>
    </w:p>
    <w:p w14:paraId="780663EA" w14:textId="55958DBE" w:rsidR="00466DDA" w:rsidRDefault="00466DDA" w:rsidP="00466DDA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693B">
        <w:rPr>
          <w:rFonts w:ascii="Arial" w:hAnsi="Arial" w:cs="Arial"/>
        </w:rPr>
        <w:t xml:space="preserve">Историческая </w:t>
      </w:r>
      <w:r w:rsidR="00EF50C6">
        <w:rPr>
          <w:rFonts w:ascii="Arial" w:hAnsi="Arial" w:cs="Arial"/>
        </w:rPr>
        <w:t xml:space="preserve">денежная </w:t>
      </w:r>
      <w:r w:rsidRPr="0075693B">
        <w:rPr>
          <w:rFonts w:ascii="Arial" w:hAnsi="Arial" w:cs="Arial"/>
        </w:rPr>
        <w:t>доходность ПИФа за период</w:t>
      </w:r>
    </w:p>
    <w:p w14:paraId="215B2AA9" w14:textId="77777777" w:rsidR="00466DDA" w:rsidRDefault="00901DFA" w:rsidP="00466DDA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RCF</m:t>
            </m:r>
          </m:e>
          <m:sub/>
          <m:sup>
            <m:r>
              <w:rPr>
                <w:rFonts w:ascii="Cambria Math" w:hAnsi="Cambria Math" w:cs="Arial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Arial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</w:rPr>
            </m:ctrlPr>
          </m:naryPr>
          <m:sub>
            <m:r>
              <w:rPr>
                <w:rFonts w:ascii="Cambria Math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hAnsi="Cambria Math" w:cs="Arial"/>
              </w:rPr>
              <m:t>=1</m:t>
            </m:r>
          </m:sub>
          <m:sup>
            <m:r>
              <w:rPr>
                <w:rFonts w:ascii="Cambria Math" w:hAnsi="Cambria Math" w:cs="Arial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NAV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T</m:t>
                    </m:r>
                  </m:sub>
                </m:sSub>
              </m:den>
            </m:f>
          </m:e>
        </m:nary>
      </m:oMath>
      <w:r w:rsidR="00466DDA" w:rsidRPr="00466DDA">
        <w:rPr>
          <w:rFonts w:ascii="Arial" w:hAnsi="Arial" w:cs="Arial"/>
        </w:rPr>
        <w:t xml:space="preserve"> , где </w:t>
      </w:r>
    </w:p>
    <w:p w14:paraId="6DE2C4AC" w14:textId="7744B185" w:rsidR="00466DDA" w:rsidRPr="00466DDA" w:rsidRDefault="00901DFA" w:rsidP="00466DDA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NAV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</m:oMath>
      <w:r w:rsidR="00466DDA" w:rsidRPr="00466DDA">
        <w:rPr>
          <w:rFonts w:ascii="Arial" w:hAnsi="Arial" w:cs="Arial"/>
        </w:rPr>
        <w:t xml:space="preserve"> – стоимость чистых активов фонда в конце периода. </w:t>
      </w:r>
    </w:p>
    <w:p w14:paraId="2F9FEACE" w14:textId="77777777" w:rsidR="00466DDA" w:rsidRPr="0075693B" w:rsidRDefault="00466DDA" w:rsidP="00466DDA">
      <w:pPr>
        <w:pStyle w:val="a3"/>
        <w:spacing w:after="120"/>
        <w:ind w:left="1276" w:hanging="916"/>
        <w:contextualSpacing w:val="0"/>
        <w:jc w:val="both"/>
        <w:rPr>
          <w:rFonts w:ascii="Arial" w:hAnsi="Arial" w:cs="Arial"/>
        </w:rPr>
      </w:pPr>
    </w:p>
    <w:p w14:paraId="24FF9F1A" w14:textId="63517BCB" w:rsidR="00466DDA" w:rsidRDefault="00466DDA" w:rsidP="00466DDA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693B">
        <w:rPr>
          <w:rFonts w:ascii="Arial" w:hAnsi="Arial" w:cs="Arial"/>
        </w:rPr>
        <w:t>Индикативная денежная доходность ПИФа</w:t>
      </w:r>
    </w:p>
    <w:p w14:paraId="6A04EE72" w14:textId="77777777" w:rsidR="00466DDA" w:rsidRDefault="00466DDA" w:rsidP="00466DDA">
      <w:pPr>
        <w:pStyle w:val="a3"/>
        <w:numPr>
          <w:ilvl w:val="2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693B">
        <w:rPr>
          <w:rFonts w:ascii="Arial" w:hAnsi="Arial" w:cs="Arial"/>
        </w:rPr>
        <w:t>Базовая</w:t>
      </w:r>
    </w:p>
    <w:p w14:paraId="3F813D71" w14:textId="77777777" w:rsid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RCF</m:t>
            </m:r>
          </m:e>
          <m:sub/>
          <m:sup>
            <m:r>
              <w:rPr>
                <w:rFonts w:ascii="Cambria Math" w:hAnsi="Cambria Math" w:cs="Arial"/>
              </w:rPr>
              <m:t>ind</m:t>
            </m:r>
            <m:r>
              <m:rPr>
                <m:sty m:val="p"/>
              </m:rPr>
              <w:rPr>
                <w:rFonts w:ascii="Cambria Math" w:hAnsi="Cambria Math" w:cs="Arial"/>
              </w:rPr>
              <m:t>.</m:t>
            </m:r>
            <m:r>
              <w:rPr>
                <w:rFonts w:ascii="Cambria Math" w:hAnsi="Cambria Math" w:cs="Arial"/>
              </w:rPr>
              <m:t>base</m:t>
            </m:r>
          </m:sup>
        </m:sSubSup>
        <m:r>
          <m:rPr>
            <m:sty m:val="p"/>
          </m:rPr>
          <w:rPr>
            <w:rFonts w:ascii="Cambria Math" w:hAnsi="Cambria Math" w:cs="Arial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</w:rPr>
            </m:ctrlPr>
          </m:naryPr>
          <m:sub>
            <m:r>
              <w:rPr>
                <w:rFonts w:ascii="Cambria Math" w:hAnsi="Cambria Math" w:cs="Arial"/>
              </w:rPr>
              <m:t>i</m:t>
            </m:r>
            <m:r>
              <m:rPr>
                <m:sty m:val="p"/>
              </m:rPr>
              <w:rPr>
                <w:rFonts w:ascii="Cambria Math" w:hAnsi="Cambria Math" w:cs="Arial"/>
              </w:rPr>
              <m:t>=1</m:t>
            </m:r>
          </m:sub>
          <m:sup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N</m:t>
                </m:r>
              </m:e>
              <m:sup>
                <m:r>
                  <w:rPr>
                    <w:rFonts w:ascii="Cambria Math" w:hAnsi="Cambria Math" w:cs="Arial"/>
                  </w:rPr>
                  <m:t>bonds</m:t>
                </m:r>
              </m:sup>
            </m:sSup>
          </m:sup>
          <m:e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 w:cs="Arial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Arial"/>
              </w:rPr>
            </m:ctrlPr>
          </m:naryPr>
          <m:sub>
            <m:r>
              <w:rPr>
                <w:rFonts w:ascii="Cambria Math" w:hAnsi="Cambria Math" w:cs="Arial"/>
              </w:rPr>
              <m:t>j</m:t>
            </m:r>
            <m:r>
              <m:rPr>
                <m:sty m:val="p"/>
              </m:rPr>
              <w:rPr>
                <w:rFonts w:ascii="Cambria Math" w:hAnsi="Cambria Math" w:cs="Arial"/>
              </w:rPr>
              <m:t>=1</m:t>
            </m:r>
          </m:sub>
          <m:sup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N</m:t>
                </m:r>
              </m:e>
              <m:sup>
                <m:r>
                  <w:rPr>
                    <w:rFonts w:ascii="Cambria Math" w:hAnsi="Cambria Math" w:cs="Arial"/>
                  </w:rPr>
                  <m:t>equities</m:t>
                </m:r>
              </m:sup>
            </m:sSup>
          </m:sup>
          <m:e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DY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j</m:t>
                    </m:r>
                  </m:sub>
                </m:sSub>
              </m:e>
            </m:d>
          </m:e>
        </m:nary>
      </m:oMath>
      <w:r w:rsidR="00466DDA" w:rsidRPr="00466DDA">
        <w:rPr>
          <w:rFonts w:ascii="Arial" w:hAnsi="Arial" w:cs="Arial"/>
        </w:rPr>
        <w:t xml:space="preserve">, где </w:t>
      </w:r>
    </w:p>
    <w:p w14:paraId="2DDD44D1" w14:textId="77777777" w:rsid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bonds</m:t>
            </m:r>
          </m:sup>
        </m:sSup>
      </m:oMath>
      <w:r w:rsidR="00466DDA" w:rsidRPr="00466DDA">
        <w:rPr>
          <w:rFonts w:ascii="Arial" w:hAnsi="Arial" w:cs="Arial"/>
        </w:rPr>
        <w:t xml:space="preserve"> и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equities</m:t>
            </m:r>
          </m:sup>
        </m:sSup>
      </m:oMath>
      <w:r w:rsidR="00466DDA" w:rsidRPr="00466DDA">
        <w:rPr>
          <w:rFonts w:ascii="Arial" w:hAnsi="Arial" w:cs="Arial"/>
        </w:rPr>
        <w:t xml:space="preserve"> – число выпусков акций и облигаций в портфеле</w:t>
      </w:r>
    </w:p>
    <w:p w14:paraId="472DEE51" w14:textId="77777777" w:rsid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466DDA" w:rsidRPr="00466DDA">
        <w:rPr>
          <w:rFonts w:ascii="Arial" w:hAnsi="Arial" w:cs="Arial"/>
        </w:rPr>
        <w:t xml:space="preserve"> и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="00466DDA" w:rsidRPr="00466DDA">
        <w:rPr>
          <w:rFonts w:ascii="Arial" w:hAnsi="Arial" w:cs="Arial"/>
        </w:rPr>
        <w:t xml:space="preserve"> – доли соответствующих инструментов в портфеле</w:t>
      </w:r>
    </w:p>
    <w:p w14:paraId="13EC04A8" w14:textId="77777777" w:rsid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CY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466DDA" w:rsidRPr="00466DDA">
        <w:rPr>
          <w:rFonts w:ascii="Arial" w:hAnsi="Arial" w:cs="Arial"/>
        </w:rPr>
        <w:t xml:space="preserve"> и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DY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="00466DDA" w:rsidRPr="00466DDA">
        <w:rPr>
          <w:rFonts w:ascii="Arial" w:hAnsi="Arial" w:cs="Arial"/>
        </w:rPr>
        <w:t xml:space="preserve"> – купонная и дивидендная доходности соответствующих инструментов</w:t>
      </w:r>
    </w:p>
    <w:p w14:paraId="3202C59F" w14:textId="77777777" w:rsid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CY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i</m:t>
                </m:r>
              </m:sub>
            </m:sSub>
          </m:den>
        </m:f>
      </m:oMath>
      <w:r w:rsidR="00466DDA" w:rsidRPr="00466DDA">
        <w:rPr>
          <w:rFonts w:ascii="Arial" w:hAnsi="Arial" w:cs="Arial"/>
        </w:rPr>
        <w:t xml:space="preserve"> , где </w:t>
      </w:r>
    </w:p>
    <w:p w14:paraId="26A2F86D" w14:textId="77777777" w:rsid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466DDA" w:rsidRPr="00466DDA">
        <w:rPr>
          <w:rFonts w:ascii="Arial" w:hAnsi="Arial" w:cs="Arial"/>
        </w:rPr>
        <w:t xml:space="preserve"> – размер купона по облигации (в %) </w:t>
      </w:r>
    </w:p>
    <w:p w14:paraId="05A21382" w14:textId="77777777" w:rsid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466DDA" w:rsidRPr="00466DDA">
        <w:rPr>
          <w:rFonts w:ascii="Arial" w:hAnsi="Arial" w:cs="Arial"/>
        </w:rPr>
        <w:t xml:space="preserve"> – цена облигации в % от номинала</w:t>
      </w:r>
    </w:p>
    <w:p w14:paraId="73033AB7" w14:textId="77777777" w:rsid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DY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D</m:t>
                </m:r>
              </m:e>
              <m:sub>
                <m:r>
                  <w:rPr>
                    <w:rFonts w:ascii="Cambria Math" w:hAnsi="Cambria Math" w:cs="Arial"/>
                  </w:rPr>
                  <m:t>j</m:t>
                </m:r>
              </m:sub>
              <m:sup>
                <m:r>
                  <w:rPr>
                    <w:rFonts w:ascii="Cambria Math" w:hAnsi="Cambria Math" w:cs="Arial"/>
                  </w:rPr>
                  <m:t>trail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 12 </m:t>
                </m:r>
                <m:r>
                  <w:rPr>
                    <w:rFonts w:ascii="Cambria Math" w:hAnsi="Cambria Math" w:cs="Arial"/>
                  </w:rPr>
                  <m:t>m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j</m:t>
                </m:r>
              </m:sub>
            </m:sSub>
          </m:den>
        </m:f>
      </m:oMath>
      <w:r w:rsidR="00466DDA" w:rsidRPr="00466DDA">
        <w:rPr>
          <w:rFonts w:ascii="Arial" w:hAnsi="Arial" w:cs="Arial"/>
        </w:rPr>
        <w:t xml:space="preserve"> , где</w:t>
      </w:r>
    </w:p>
    <w:p w14:paraId="68BC130A" w14:textId="77777777" w:rsid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  <m:sup>
            <m:r>
              <w:rPr>
                <w:rFonts w:ascii="Cambria Math" w:hAnsi="Cambria Math" w:cs="Arial"/>
              </w:rPr>
              <m:t>trail</m:t>
            </m:r>
            <m:r>
              <m:rPr>
                <m:sty m:val="p"/>
              </m:rPr>
              <w:rPr>
                <w:rFonts w:ascii="Cambria Math" w:hAnsi="Cambria Math" w:cs="Arial"/>
              </w:rPr>
              <m:t xml:space="preserve"> 12 </m:t>
            </m:r>
            <m:r>
              <w:rPr>
                <w:rFonts w:ascii="Cambria Math" w:hAnsi="Cambria Math" w:cs="Arial"/>
              </w:rPr>
              <m:t>m</m:t>
            </m:r>
          </m:sup>
        </m:sSubSup>
      </m:oMath>
      <w:r w:rsidR="00466DDA" w:rsidRPr="00466DDA">
        <w:rPr>
          <w:rFonts w:ascii="Arial" w:hAnsi="Arial" w:cs="Arial"/>
        </w:rPr>
        <w:t xml:space="preserve"> – сумма купонных платежей по акции (при необходимости пересчитанная с учетом корпоративных событий)</w:t>
      </w:r>
    </w:p>
    <w:p w14:paraId="1D59907E" w14:textId="07D3F073" w:rsidR="00466DDA" w:rsidRP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466DDA" w:rsidRPr="00466DDA">
        <w:rPr>
          <w:rFonts w:ascii="Arial" w:hAnsi="Arial" w:cs="Arial"/>
        </w:rPr>
        <w:t xml:space="preserve"> – цена акции</w:t>
      </w:r>
    </w:p>
    <w:p w14:paraId="53F60836" w14:textId="77777777" w:rsidR="00466DDA" w:rsidRDefault="00466DDA" w:rsidP="00466DDA">
      <w:pPr>
        <w:pStyle w:val="a3"/>
        <w:numPr>
          <w:ilvl w:val="2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693B">
        <w:rPr>
          <w:rFonts w:ascii="Arial" w:hAnsi="Arial" w:cs="Arial"/>
        </w:rPr>
        <w:t>В негативном сценарии</w:t>
      </w:r>
    </w:p>
    <w:p w14:paraId="446E8A76" w14:textId="5B95D41D" w:rsidR="00466DDA" w:rsidRDefault="00901DFA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RCF</m:t>
            </m:r>
          </m:e>
          <m:sub/>
          <m:sup>
            <m:r>
              <w:rPr>
                <w:rFonts w:ascii="Cambria Math" w:hAnsi="Cambria Math" w:cs="Arial"/>
              </w:rPr>
              <m:t>ind</m:t>
            </m:r>
            <m:r>
              <m:rPr>
                <m:sty m:val="p"/>
              </m:rPr>
              <w:rPr>
                <w:rFonts w:ascii="Cambria Math" w:hAnsi="Cambria Math" w:cs="Arial"/>
              </w:rPr>
              <m:t>.</m:t>
            </m:r>
            <m:r>
              <w:rPr>
                <w:rFonts w:ascii="Cambria Math" w:hAnsi="Cambria Math" w:cs="Arial"/>
              </w:rPr>
              <m:t>neg</m:t>
            </m:r>
          </m:sup>
        </m:sSubSup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0.9∙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</w:rPr>
                </m:ctrlPr>
              </m:naryPr>
              <m:sub>
                <m:r>
                  <w:rPr>
                    <w:rFonts w:ascii="Cambria Math" w:hAnsi="Cambria Math" w:cs="Arial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=1</m:t>
                </m:r>
              </m:sub>
              <m:sup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bonds</m:t>
                    </m:r>
                  </m:sup>
                </m:sSup>
              </m:sup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CY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 w:cs="Arial"/>
              </w:rPr>
              <m:t>+0.5∙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</w:rPr>
                </m:ctrlPr>
              </m:naryPr>
              <m:sub>
                <m:r>
                  <w:rPr>
                    <w:rFonts w:ascii="Cambria Math" w:hAnsi="Cambria Math" w:cs="Arial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=1</m:t>
                </m:r>
              </m:sub>
              <m:sup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equities</m:t>
                    </m:r>
                  </m:sup>
                </m:sSup>
              </m:sup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DY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j</m:t>
                        </m:r>
                      </m:sub>
                    </m:sSub>
                  </m:e>
                </m:d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1.15</m:t>
            </m:r>
          </m:den>
        </m:f>
        <m:r>
          <w:rPr>
            <w:rFonts w:ascii="Cambria Math" w:hAnsi="Cambria Math" w:cs="Arial"/>
          </w:rPr>
          <m:t xml:space="preserve"> </m:t>
        </m:r>
      </m:oMath>
      <w:r w:rsidR="00420D2D">
        <w:rPr>
          <w:rFonts w:ascii="Arial" w:eastAsiaTheme="minorEastAsia" w:hAnsi="Arial" w:cs="Arial"/>
        </w:rPr>
        <w:t xml:space="preserve"> </w:t>
      </w:r>
    </w:p>
    <w:p w14:paraId="650D3D6C" w14:textId="5B7B5E64" w:rsidR="00420D2D" w:rsidRPr="00466DDA" w:rsidRDefault="00420D2D" w:rsidP="00466DDA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</w:p>
    <w:p w14:paraId="3251109D" w14:textId="77777777" w:rsidR="00420D2D" w:rsidRDefault="00466DDA" w:rsidP="00420D2D">
      <w:pPr>
        <w:pStyle w:val="a3"/>
        <w:numPr>
          <w:ilvl w:val="2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693B">
        <w:rPr>
          <w:rFonts w:ascii="Arial" w:hAnsi="Arial" w:cs="Arial"/>
        </w:rPr>
        <w:t>В позитивном сценарии</w:t>
      </w:r>
    </w:p>
    <w:p w14:paraId="479AB044" w14:textId="280EB365" w:rsidR="00466DDA" w:rsidRPr="00420D2D" w:rsidRDefault="00901DFA" w:rsidP="00420D2D">
      <w:pPr>
        <w:pStyle w:val="a3"/>
        <w:spacing w:after="120"/>
        <w:ind w:left="180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RCF</m:t>
            </m:r>
          </m:e>
          <m:sub/>
          <m:sup>
            <m:r>
              <w:rPr>
                <w:rFonts w:ascii="Cambria Math" w:hAnsi="Cambria Math" w:cs="Arial"/>
              </w:rPr>
              <m:t>ind</m:t>
            </m:r>
            <m:r>
              <m:rPr>
                <m:sty m:val="p"/>
              </m:rPr>
              <w:rPr>
                <w:rFonts w:ascii="Cambria Math" w:hAnsi="Cambria Math" w:cs="Arial"/>
              </w:rPr>
              <m:t>.</m:t>
            </m:r>
            <m:r>
              <w:rPr>
                <w:rFonts w:ascii="Cambria Math" w:hAnsi="Cambria Math" w:cs="Arial"/>
              </w:rPr>
              <m:t>pos</m:t>
            </m:r>
          </m:sup>
        </m:sSubSup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</w:rPr>
                </m:ctrlPr>
              </m:naryPr>
              <m:sub>
                <m:r>
                  <w:rPr>
                    <w:rFonts w:ascii="Cambria Math" w:hAnsi="Cambria Math" w:cs="Arial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=1</m:t>
                </m:r>
              </m:sub>
              <m:sup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bonds</m:t>
                    </m:r>
                  </m:sup>
                </m:sSup>
              </m:sup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CY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 w:cs="Arial"/>
              </w:rPr>
              <m:t>+1.5∙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</w:rPr>
                </m:ctrlPr>
              </m:naryPr>
              <m:sub>
                <m:r>
                  <w:rPr>
                    <w:rFonts w:ascii="Cambria Math" w:hAnsi="Cambria Math" w:cs="Arial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=1</m:t>
                </m:r>
              </m:sub>
              <m:sup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equities</m:t>
                    </m:r>
                  </m:sup>
                </m:sSup>
              </m:sup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DY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j</m:t>
                        </m:r>
                      </m:sub>
                    </m:sSub>
                  </m:e>
                </m:d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0.85</m:t>
            </m:r>
          </m:den>
        </m:f>
      </m:oMath>
      <w:r w:rsidR="00420D2D">
        <w:rPr>
          <w:rFonts w:ascii="Arial" w:eastAsiaTheme="minorEastAsia" w:hAnsi="Arial" w:cs="Arial"/>
        </w:rPr>
        <w:t xml:space="preserve"> </w:t>
      </w:r>
    </w:p>
    <w:p w14:paraId="1468F85F" w14:textId="77777777" w:rsidR="00466DDA" w:rsidRPr="0075693B" w:rsidRDefault="00466DDA" w:rsidP="00466DDA">
      <w:pPr>
        <w:pStyle w:val="a3"/>
        <w:spacing w:after="120"/>
        <w:ind w:left="1276" w:hanging="916"/>
        <w:contextualSpacing w:val="0"/>
        <w:jc w:val="both"/>
        <w:rPr>
          <w:rFonts w:ascii="Arial" w:hAnsi="Arial" w:cs="Arial"/>
        </w:rPr>
      </w:pPr>
    </w:p>
    <w:p w14:paraId="7C042C5F" w14:textId="77777777" w:rsidR="00420D2D" w:rsidRDefault="00466DDA" w:rsidP="00420D2D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693B">
        <w:rPr>
          <w:rFonts w:ascii="Arial" w:hAnsi="Arial" w:cs="Arial"/>
        </w:rPr>
        <w:t>Капитализированная денежная доходность ПИФа</w:t>
      </w:r>
    </w:p>
    <w:p w14:paraId="65A1CAE8" w14:textId="77777777" w:rsidR="00420D2D" w:rsidRDefault="00901DFA" w:rsidP="00420D2D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RCF</m:t>
            </m:r>
          </m:e>
          <m:sub/>
          <m:sup>
            <m:r>
              <w:rPr>
                <w:rFonts w:ascii="Cambria Math" w:hAnsi="Cambria Math" w:cs="Arial"/>
              </w:rPr>
              <m:t>KF</m:t>
            </m:r>
          </m:sup>
        </m:sSubSup>
        <m:r>
          <m:rPr>
            <m:sty m:val="p"/>
          </m:rPr>
          <w:rPr>
            <w:rFonts w:ascii="Cambria Math" w:hAnsi="Cambria Math" w:cs="Arial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</w:rPr>
            </m:ctrlPr>
          </m:naryPr>
          <m:sub>
            <m:r>
              <w:rPr>
                <w:rFonts w:ascii="Cambria Math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hAnsi="Cambria Math" w:cs="Arial"/>
              </w:rPr>
              <m:t>=1</m:t>
            </m:r>
          </m:sub>
          <m:sup>
            <m:r>
              <w:rPr>
                <w:rFonts w:ascii="Cambria Math" w:hAnsi="Cambria Math" w:cs="Arial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NAV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t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>-</m:t>
            </m:r>
          </m:e>
        </m:nary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RCF</m:t>
            </m:r>
          </m:e>
          <m:sub/>
          <m:sup>
            <m:r>
              <w:rPr>
                <w:rFonts w:ascii="Cambria Math" w:hAnsi="Cambria Math" w:cs="Arial"/>
              </w:rPr>
              <m:t>F</m:t>
            </m:r>
          </m:sup>
        </m:sSubSup>
      </m:oMath>
      <w:r w:rsidR="00466DDA" w:rsidRPr="00420D2D">
        <w:rPr>
          <w:rFonts w:ascii="Arial" w:hAnsi="Arial" w:cs="Arial"/>
        </w:rPr>
        <w:t xml:space="preserve"> , где </w:t>
      </w:r>
    </w:p>
    <w:p w14:paraId="64E2A26F" w14:textId="0E477009" w:rsidR="00466DDA" w:rsidRPr="00420D2D" w:rsidRDefault="00901DFA" w:rsidP="00420D2D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NAV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</m:oMath>
      <w:r w:rsidR="00466DDA" w:rsidRPr="00420D2D">
        <w:rPr>
          <w:rFonts w:ascii="Arial" w:hAnsi="Arial" w:cs="Arial"/>
        </w:rPr>
        <w:t xml:space="preserve"> – стоимость чистых активов фонда на день t</w:t>
      </w:r>
    </w:p>
    <w:p w14:paraId="1986C144" w14:textId="77777777" w:rsidR="00420D2D" w:rsidRDefault="00466DDA" w:rsidP="00420D2D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693B">
        <w:rPr>
          <w:rFonts w:ascii="Arial" w:hAnsi="Arial" w:cs="Arial"/>
        </w:rPr>
        <w:t>Историческая капитализированная денежная доходность ПИФа</w:t>
      </w:r>
    </w:p>
    <w:p w14:paraId="44A7115E" w14:textId="77777777" w:rsidR="00420D2D" w:rsidRDefault="00901DFA" w:rsidP="00420D2D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RCF</m:t>
            </m:r>
          </m:e>
          <m:sub/>
          <m:sup>
            <m:r>
              <w:rPr>
                <w:rFonts w:ascii="Cambria Math" w:hAnsi="Cambria Math" w:cs="Arial"/>
              </w:rPr>
              <m:t>KH</m:t>
            </m:r>
          </m:sup>
        </m:sSubSup>
        <m:r>
          <m:rPr>
            <m:sty m:val="p"/>
          </m:rPr>
          <w:rPr>
            <w:rFonts w:ascii="Cambria Math" w:hAnsi="Cambria Math" w:cs="Arial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</w:rPr>
            </m:ctrlPr>
          </m:naryPr>
          <m:sub>
            <m:r>
              <w:rPr>
                <w:rFonts w:ascii="Cambria Math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hAnsi="Cambria Math" w:cs="Arial"/>
              </w:rPr>
              <m:t>=1</m:t>
            </m:r>
          </m:sub>
          <m:sup>
            <m:r>
              <w:rPr>
                <w:rFonts w:ascii="Cambria Math" w:hAnsi="Cambria Math" w:cs="Arial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NAV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t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>-</m:t>
            </m:r>
          </m:e>
        </m:nary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RCF</m:t>
            </m:r>
          </m:e>
          <m:sub/>
          <m:sup>
            <m:r>
              <w:rPr>
                <w:rFonts w:ascii="Cambria Math" w:hAnsi="Cambria Math" w:cs="Arial"/>
              </w:rPr>
              <m:t>H</m:t>
            </m:r>
          </m:sup>
        </m:sSubSup>
      </m:oMath>
      <w:r w:rsidR="00466DDA" w:rsidRPr="00420D2D">
        <w:rPr>
          <w:rFonts w:ascii="Arial" w:hAnsi="Arial" w:cs="Arial"/>
        </w:rPr>
        <w:t xml:space="preserve"> , где </w:t>
      </w:r>
    </w:p>
    <w:p w14:paraId="73970909" w14:textId="79F8461F" w:rsidR="00466DDA" w:rsidRPr="00420D2D" w:rsidRDefault="00901DFA" w:rsidP="00420D2D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NAV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</m:oMath>
      <w:r w:rsidR="00466DDA" w:rsidRPr="00420D2D">
        <w:rPr>
          <w:rFonts w:ascii="Arial" w:hAnsi="Arial" w:cs="Arial"/>
        </w:rPr>
        <w:t xml:space="preserve"> – стоимость чистых активов фонда на день t</w:t>
      </w:r>
    </w:p>
    <w:p w14:paraId="39373ADE" w14:textId="77777777" w:rsidR="00420D2D" w:rsidRDefault="00466DDA" w:rsidP="00420D2D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693B">
        <w:rPr>
          <w:rFonts w:ascii="Arial" w:hAnsi="Arial" w:cs="Arial"/>
        </w:rPr>
        <w:t>Полная доходность ПИФа за период</w:t>
      </w:r>
    </w:p>
    <w:p w14:paraId="51B20BC2" w14:textId="77777777" w:rsidR="00420D2D" w:rsidRDefault="00466DDA" w:rsidP="00420D2D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TR</m:t>
        </m:r>
        <m:r>
          <m:rPr>
            <m:sty m:val="p"/>
          </m:rPr>
          <w:rPr>
            <w:rFonts w:ascii="Cambria Math" w:hAnsi="Cambria Math" w:cs="Arial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 w:cs="Arial"/>
              </w:rPr>
            </m:ctrlPr>
          </m:naryPr>
          <m:sub>
            <m:r>
              <w:rPr>
                <w:rFonts w:ascii="Cambria Math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hAnsi="Cambria Math" w:cs="Arial"/>
              </w:rPr>
              <m:t>=1</m:t>
            </m:r>
          </m:sub>
          <m:sup>
            <m:r>
              <w:rPr>
                <w:rFonts w:ascii="Cambria Math" w:hAnsi="Cambria Math" w:cs="Arial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FUND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FUND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Arial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-1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FUND</m:t>
                        </m:r>
                      </m:sup>
                    </m:sSubSup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 w:cs="Arial"/>
          </w:rPr>
          <m:t>-1</m:t>
        </m:r>
      </m:oMath>
      <w:r w:rsidRPr="00420D2D">
        <w:rPr>
          <w:rFonts w:ascii="Arial" w:hAnsi="Arial" w:cs="Arial"/>
        </w:rPr>
        <w:t xml:space="preserve">, где </w:t>
      </w:r>
    </w:p>
    <w:p w14:paraId="63ED50B5" w14:textId="77777777" w:rsidR="00420D2D" w:rsidRDefault="00901DFA" w:rsidP="00420D2D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  <m:sup>
            <m:r>
              <w:rPr>
                <w:rFonts w:ascii="Cambria Math" w:hAnsi="Cambria Math" w:cs="Arial"/>
              </w:rPr>
              <m:t>FUND</m:t>
            </m:r>
          </m:sup>
        </m:sSubSup>
      </m:oMath>
      <w:r w:rsidR="00466DDA" w:rsidRPr="00420D2D">
        <w:rPr>
          <w:rFonts w:ascii="Arial" w:hAnsi="Arial" w:cs="Arial"/>
        </w:rPr>
        <w:t xml:space="preserve"> – цена пая в дату t (после выплаты дохода, если таковая в этот день осуществляется), </w:t>
      </w: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FUND</m:t>
            </m:r>
          </m:sup>
        </m:sSubSup>
      </m:oMath>
      <w:r w:rsidR="00466DDA" w:rsidRPr="00420D2D">
        <w:rPr>
          <w:rFonts w:ascii="Arial" w:hAnsi="Arial" w:cs="Arial"/>
        </w:rPr>
        <w:t xml:space="preserve"> – начальная стоимость пая (последний день периода, предшествующего рассматриваемому), </w:t>
      </w: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  <m:sup>
            <m:r>
              <w:rPr>
                <w:rFonts w:ascii="Cambria Math" w:hAnsi="Cambria Math" w:cs="Arial"/>
              </w:rPr>
              <m:t>FUND</m:t>
            </m:r>
          </m:sup>
        </m:sSubSup>
      </m:oMath>
      <w:r w:rsidR="00466DDA" w:rsidRPr="00420D2D">
        <w:rPr>
          <w:rFonts w:ascii="Arial" w:hAnsi="Arial" w:cs="Arial"/>
        </w:rPr>
        <w:t xml:space="preserve"> – цена пая на дату конец периода </w:t>
      </w:r>
    </w:p>
    <w:p w14:paraId="4E8517F5" w14:textId="43EFDC90" w:rsidR="00466DDA" w:rsidRPr="00420D2D" w:rsidRDefault="00901DFA" w:rsidP="00420D2D">
      <w:pPr>
        <w:pStyle w:val="a3"/>
        <w:spacing w:after="120"/>
        <w:ind w:left="1080"/>
        <w:contextualSpacing w:val="0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  <m:sup>
            <m:r>
              <w:rPr>
                <w:rFonts w:ascii="Cambria Math" w:hAnsi="Cambria Math" w:cs="Arial"/>
              </w:rPr>
              <m:t>FUND</m:t>
            </m:r>
          </m:sup>
        </m:sSubSup>
      </m:oMath>
      <w:r w:rsidR="00466DDA" w:rsidRPr="00420D2D">
        <w:rPr>
          <w:rFonts w:ascii="Arial" w:hAnsi="Arial" w:cs="Arial"/>
        </w:rPr>
        <w:t xml:space="preserve"> – размер дохода в расчете на один пай, выплаченный в дату t (если в этот день нет выплаты дохода, то </w:t>
      </w:r>
      <m:oMath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  <m:sup>
            <m:r>
              <w:rPr>
                <w:rFonts w:ascii="Cambria Math" w:hAnsi="Cambria Math" w:cs="Arial"/>
              </w:rPr>
              <m:t>FUND</m:t>
            </m:r>
          </m:sup>
        </m:sSubSup>
        <m:r>
          <m:rPr>
            <m:sty m:val="p"/>
          </m:rPr>
          <w:rPr>
            <w:rFonts w:ascii="Cambria Math" w:hAnsi="Cambria Math" w:cs="Arial"/>
          </w:rPr>
          <m:t>=0</m:t>
        </m:r>
      </m:oMath>
    </w:p>
    <w:p w14:paraId="62F4ED1D" w14:textId="77777777" w:rsidR="00466DDA" w:rsidRPr="0075693B" w:rsidRDefault="00466DDA" w:rsidP="00466DDA">
      <w:pPr>
        <w:pStyle w:val="a3"/>
        <w:spacing w:after="120"/>
        <w:ind w:left="1276" w:hanging="916"/>
        <w:contextualSpacing w:val="0"/>
        <w:jc w:val="both"/>
        <w:rPr>
          <w:rFonts w:ascii="Arial" w:hAnsi="Arial" w:cs="Arial"/>
        </w:rPr>
      </w:pPr>
    </w:p>
    <w:p w14:paraId="5B5E752D" w14:textId="77777777" w:rsidR="004A28C0" w:rsidRDefault="004A28C0" w:rsidP="00FB4F4A">
      <w:pPr>
        <w:pStyle w:val="a3"/>
        <w:spacing w:after="120"/>
        <w:ind w:left="1276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6CA58CCC" w14:textId="3F1D73D9" w:rsidR="00B866D2" w:rsidRDefault="0042588B" w:rsidP="00B866D2">
      <w:pPr>
        <w:pStyle w:val="a3"/>
        <w:numPr>
          <w:ilvl w:val="0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ЗАКЛЮЧИТЕЛЬНЫЕ ПОЛОЖЕНИЯ</w:t>
      </w:r>
    </w:p>
    <w:p w14:paraId="1D04B52D" w14:textId="308A0651" w:rsidR="00814D73" w:rsidRDefault="00814D73" w:rsidP="00A3264B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Методика вступает в действие с момента утверждения </w:t>
      </w:r>
      <w:r w:rsidR="00420D2D">
        <w:rPr>
          <w:rFonts w:ascii="Arial" w:hAnsi="Arial" w:cs="Arial"/>
          <w:sz w:val="22"/>
          <w:szCs w:val="22"/>
        </w:rPr>
        <w:t>Правлением</w:t>
      </w:r>
      <w:r>
        <w:rPr>
          <w:rFonts w:ascii="Arial" w:hAnsi="Arial" w:cs="Arial"/>
          <w:sz w:val="22"/>
          <w:szCs w:val="22"/>
        </w:rPr>
        <w:t>.</w:t>
      </w:r>
    </w:p>
    <w:p w14:paraId="08135490" w14:textId="30134BED" w:rsidR="002540EA" w:rsidRDefault="002540EA" w:rsidP="00A3264B">
      <w:pPr>
        <w:pStyle w:val="a3"/>
        <w:numPr>
          <w:ilvl w:val="1"/>
          <w:numId w:val="1"/>
        </w:numPr>
        <w:spacing w:after="120"/>
        <w:ind w:left="1276" w:hanging="91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хранения не</w:t>
      </w:r>
      <w:r w:rsidR="00420D2D">
        <w:rPr>
          <w:rFonts w:ascii="Arial" w:hAnsi="Arial" w:cs="Arial"/>
          <w:sz w:val="22"/>
          <w:szCs w:val="22"/>
        </w:rPr>
        <w:t>действующей версии документа – бессрочно</w:t>
      </w:r>
      <w:r>
        <w:rPr>
          <w:rFonts w:ascii="Arial" w:hAnsi="Arial" w:cs="Arial"/>
          <w:sz w:val="22"/>
          <w:szCs w:val="22"/>
        </w:rPr>
        <w:t>.</w:t>
      </w:r>
    </w:p>
    <w:p w14:paraId="5ECDCB59" w14:textId="5ED5AB8D" w:rsidR="00814D73" w:rsidRPr="00814D73" w:rsidRDefault="00814D73" w:rsidP="00814D73">
      <w:pPr>
        <w:pStyle w:val="a3"/>
        <w:spacing w:after="120"/>
        <w:ind w:left="1276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sectPr w:rsidR="00814D73" w:rsidRPr="00814D73" w:rsidSect="005C72EF"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03EB9" w14:textId="77777777" w:rsidR="003075EF" w:rsidRDefault="003075EF" w:rsidP="00F666CD">
      <w:r>
        <w:separator/>
      </w:r>
    </w:p>
  </w:endnote>
  <w:endnote w:type="continuationSeparator" w:id="0">
    <w:p w14:paraId="0FE6A04C" w14:textId="77777777" w:rsidR="003075EF" w:rsidRDefault="003075EF" w:rsidP="00F666CD">
      <w:r>
        <w:continuationSeparator/>
      </w:r>
    </w:p>
  </w:endnote>
  <w:endnote w:type="continuationNotice" w:id="1">
    <w:p w14:paraId="29CC71DE" w14:textId="77777777" w:rsidR="003075EF" w:rsidRDefault="00307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5272A" w14:textId="77777777" w:rsidR="003075EF" w:rsidRDefault="003075EF" w:rsidP="00F666CD">
      <w:r>
        <w:separator/>
      </w:r>
    </w:p>
  </w:footnote>
  <w:footnote w:type="continuationSeparator" w:id="0">
    <w:p w14:paraId="1559457C" w14:textId="77777777" w:rsidR="003075EF" w:rsidRDefault="003075EF" w:rsidP="00F666CD">
      <w:r>
        <w:continuationSeparator/>
      </w:r>
    </w:p>
  </w:footnote>
  <w:footnote w:type="continuationNotice" w:id="1">
    <w:p w14:paraId="43105A81" w14:textId="77777777" w:rsidR="003075EF" w:rsidRDefault="003075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3198"/>
    <w:multiLevelType w:val="multilevel"/>
    <w:tmpl w:val="CACC7EB4"/>
    <w:lvl w:ilvl="0">
      <w:start w:val="1"/>
      <w:numFmt w:val="decimal"/>
      <w:lvlText w:val="%1"/>
      <w:lvlJc w:val="left"/>
      <w:pPr>
        <w:ind w:left="2073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27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08" w:hanging="1800"/>
      </w:pPr>
      <w:rPr>
        <w:rFonts w:hint="default"/>
      </w:rPr>
    </w:lvl>
  </w:abstractNum>
  <w:abstractNum w:abstractNumId="1" w15:restartNumberingAfterBreak="0">
    <w:nsid w:val="060B0498"/>
    <w:multiLevelType w:val="hybridMultilevel"/>
    <w:tmpl w:val="C03A0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B4DD6"/>
    <w:multiLevelType w:val="hybridMultilevel"/>
    <w:tmpl w:val="40B831F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4120A6"/>
    <w:multiLevelType w:val="multilevel"/>
    <w:tmpl w:val="8BC0B86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2958A4"/>
    <w:multiLevelType w:val="hybridMultilevel"/>
    <w:tmpl w:val="8E083126"/>
    <w:lvl w:ilvl="0" w:tplc="F028C2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4A2"/>
    <w:multiLevelType w:val="multilevel"/>
    <w:tmpl w:val="F68C108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2D0C8B"/>
    <w:multiLevelType w:val="hybridMultilevel"/>
    <w:tmpl w:val="F5649092"/>
    <w:lvl w:ilvl="0" w:tplc="C5ACD304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5F55CF8"/>
    <w:multiLevelType w:val="hybridMultilevel"/>
    <w:tmpl w:val="1CC87E58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2B0B1241"/>
    <w:multiLevelType w:val="hybridMultilevel"/>
    <w:tmpl w:val="131807A2"/>
    <w:lvl w:ilvl="0" w:tplc="3EDCFF56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129305C"/>
    <w:multiLevelType w:val="hybridMultilevel"/>
    <w:tmpl w:val="FA5C5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871CA"/>
    <w:multiLevelType w:val="hybridMultilevel"/>
    <w:tmpl w:val="2252F98A"/>
    <w:lvl w:ilvl="0" w:tplc="D08868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165429"/>
    <w:multiLevelType w:val="multilevel"/>
    <w:tmpl w:val="70F039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A335C7B"/>
    <w:multiLevelType w:val="multilevel"/>
    <w:tmpl w:val="2CCA8B12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A641385"/>
    <w:multiLevelType w:val="multilevel"/>
    <w:tmpl w:val="6164B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2727CE"/>
    <w:multiLevelType w:val="hybridMultilevel"/>
    <w:tmpl w:val="9E5C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10337"/>
    <w:multiLevelType w:val="hybridMultilevel"/>
    <w:tmpl w:val="ED00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8240A"/>
    <w:multiLevelType w:val="hybridMultilevel"/>
    <w:tmpl w:val="9618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26094"/>
    <w:multiLevelType w:val="multilevel"/>
    <w:tmpl w:val="C4C8D5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539783D"/>
    <w:multiLevelType w:val="hybridMultilevel"/>
    <w:tmpl w:val="1BA0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C69CF"/>
    <w:multiLevelType w:val="hybridMultilevel"/>
    <w:tmpl w:val="0F98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97A6F"/>
    <w:multiLevelType w:val="multilevel"/>
    <w:tmpl w:val="C4C8D5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FFD556E"/>
    <w:multiLevelType w:val="hybridMultilevel"/>
    <w:tmpl w:val="C1987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2"/>
  </w:num>
  <w:num w:numId="12">
    <w:abstractNumId w:val="8"/>
  </w:num>
  <w:num w:numId="13">
    <w:abstractNumId w:val="6"/>
  </w:num>
  <w:num w:numId="14">
    <w:abstractNumId w:val="21"/>
  </w:num>
  <w:num w:numId="15">
    <w:abstractNumId w:val="20"/>
  </w:num>
  <w:num w:numId="16">
    <w:abstractNumId w:val="1"/>
  </w:num>
  <w:num w:numId="17">
    <w:abstractNumId w:val="9"/>
  </w:num>
  <w:num w:numId="18">
    <w:abstractNumId w:val="15"/>
  </w:num>
  <w:num w:numId="19">
    <w:abstractNumId w:val="18"/>
  </w:num>
  <w:num w:numId="20">
    <w:abstractNumId w:val="19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9A"/>
    <w:rsid w:val="00000985"/>
    <w:rsid w:val="000044DC"/>
    <w:rsid w:val="00004BCB"/>
    <w:rsid w:val="0000517D"/>
    <w:rsid w:val="000129BC"/>
    <w:rsid w:val="00012E3E"/>
    <w:rsid w:val="00023129"/>
    <w:rsid w:val="00024AF1"/>
    <w:rsid w:val="000266A5"/>
    <w:rsid w:val="0003724C"/>
    <w:rsid w:val="00044229"/>
    <w:rsid w:val="0004640F"/>
    <w:rsid w:val="00047FD8"/>
    <w:rsid w:val="00054FEF"/>
    <w:rsid w:val="000557BC"/>
    <w:rsid w:val="00056B37"/>
    <w:rsid w:val="00056CD8"/>
    <w:rsid w:val="00061588"/>
    <w:rsid w:val="00064508"/>
    <w:rsid w:val="000657C3"/>
    <w:rsid w:val="00071CC5"/>
    <w:rsid w:val="00072E0A"/>
    <w:rsid w:val="000756FD"/>
    <w:rsid w:val="0008253B"/>
    <w:rsid w:val="00082AE6"/>
    <w:rsid w:val="00090842"/>
    <w:rsid w:val="00094192"/>
    <w:rsid w:val="00094474"/>
    <w:rsid w:val="0009575F"/>
    <w:rsid w:val="00096281"/>
    <w:rsid w:val="00097642"/>
    <w:rsid w:val="000A0C28"/>
    <w:rsid w:val="000A159E"/>
    <w:rsid w:val="000A47B7"/>
    <w:rsid w:val="000B15DE"/>
    <w:rsid w:val="000B60B2"/>
    <w:rsid w:val="000C000C"/>
    <w:rsid w:val="000C31F7"/>
    <w:rsid w:val="000C4AC0"/>
    <w:rsid w:val="000F0EFC"/>
    <w:rsid w:val="000F24F8"/>
    <w:rsid w:val="000F27E6"/>
    <w:rsid w:val="000F2F3C"/>
    <w:rsid w:val="000F2FED"/>
    <w:rsid w:val="000F5D99"/>
    <w:rsid w:val="000F7BE1"/>
    <w:rsid w:val="0010197D"/>
    <w:rsid w:val="001036B2"/>
    <w:rsid w:val="001118B6"/>
    <w:rsid w:val="0011345F"/>
    <w:rsid w:val="001206C3"/>
    <w:rsid w:val="00121A82"/>
    <w:rsid w:val="001235A1"/>
    <w:rsid w:val="00124DC2"/>
    <w:rsid w:val="0012600D"/>
    <w:rsid w:val="00126220"/>
    <w:rsid w:val="001306F5"/>
    <w:rsid w:val="00133CA0"/>
    <w:rsid w:val="001361D0"/>
    <w:rsid w:val="001403F7"/>
    <w:rsid w:val="0014271C"/>
    <w:rsid w:val="00143768"/>
    <w:rsid w:val="00143FAB"/>
    <w:rsid w:val="00145A99"/>
    <w:rsid w:val="00145F02"/>
    <w:rsid w:val="001461F2"/>
    <w:rsid w:val="00146CF6"/>
    <w:rsid w:val="001535C9"/>
    <w:rsid w:val="00154C56"/>
    <w:rsid w:val="00162010"/>
    <w:rsid w:val="001665EC"/>
    <w:rsid w:val="00166C05"/>
    <w:rsid w:val="00171340"/>
    <w:rsid w:val="00172827"/>
    <w:rsid w:val="00174CE8"/>
    <w:rsid w:val="0017559B"/>
    <w:rsid w:val="00177712"/>
    <w:rsid w:val="001808D6"/>
    <w:rsid w:val="00183079"/>
    <w:rsid w:val="00184EBC"/>
    <w:rsid w:val="00185D53"/>
    <w:rsid w:val="00186559"/>
    <w:rsid w:val="001915B9"/>
    <w:rsid w:val="001923FB"/>
    <w:rsid w:val="00193813"/>
    <w:rsid w:val="001A254C"/>
    <w:rsid w:val="001A2D56"/>
    <w:rsid w:val="001A317B"/>
    <w:rsid w:val="001A3C66"/>
    <w:rsid w:val="001A4AD9"/>
    <w:rsid w:val="001A4C3A"/>
    <w:rsid w:val="001A689D"/>
    <w:rsid w:val="001B13CE"/>
    <w:rsid w:val="001B1ABB"/>
    <w:rsid w:val="001B25C2"/>
    <w:rsid w:val="001C25DB"/>
    <w:rsid w:val="001C367D"/>
    <w:rsid w:val="001C3E04"/>
    <w:rsid w:val="001C69BD"/>
    <w:rsid w:val="001D01D2"/>
    <w:rsid w:val="001D0395"/>
    <w:rsid w:val="001D1A85"/>
    <w:rsid w:val="001D37AC"/>
    <w:rsid w:val="001D4EBF"/>
    <w:rsid w:val="001D58F9"/>
    <w:rsid w:val="001D68CD"/>
    <w:rsid w:val="001E1A85"/>
    <w:rsid w:val="001E1BB9"/>
    <w:rsid w:val="001E45C6"/>
    <w:rsid w:val="001E4B61"/>
    <w:rsid w:val="001E5353"/>
    <w:rsid w:val="001E5982"/>
    <w:rsid w:val="001E6817"/>
    <w:rsid w:val="001F1011"/>
    <w:rsid w:val="001F1C34"/>
    <w:rsid w:val="001F42BB"/>
    <w:rsid w:val="001F4E72"/>
    <w:rsid w:val="001F51EE"/>
    <w:rsid w:val="001F5871"/>
    <w:rsid w:val="001F5FE8"/>
    <w:rsid w:val="001F6817"/>
    <w:rsid w:val="001F7191"/>
    <w:rsid w:val="00201081"/>
    <w:rsid w:val="00202B0E"/>
    <w:rsid w:val="00207C41"/>
    <w:rsid w:val="00211990"/>
    <w:rsid w:val="00211C8D"/>
    <w:rsid w:val="00214C7F"/>
    <w:rsid w:val="0021696D"/>
    <w:rsid w:val="00216D77"/>
    <w:rsid w:val="0022524D"/>
    <w:rsid w:val="002259C6"/>
    <w:rsid w:val="002334E1"/>
    <w:rsid w:val="00235868"/>
    <w:rsid w:val="002375DE"/>
    <w:rsid w:val="00241080"/>
    <w:rsid w:val="0024249E"/>
    <w:rsid w:val="002444AA"/>
    <w:rsid w:val="002502A3"/>
    <w:rsid w:val="0025217E"/>
    <w:rsid w:val="002540EA"/>
    <w:rsid w:val="002544F1"/>
    <w:rsid w:val="00256B4F"/>
    <w:rsid w:val="00257ABA"/>
    <w:rsid w:val="00264D6B"/>
    <w:rsid w:val="00270A97"/>
    <w:rsid w:val="00272609"/>
    <w:rsid w:val="00273319"/>
    <w:rsid w:val="002736D5"/>
    <w:rsid w:val="002740FD"/>
    <w:rsid w:val="00280BF2"/>
    <w:rsid w:val="0028206B"/>
    <w:rsid w:val="00282D4A"/>
    <w:rsid w:val="00283F6C"/>
    <w:rsid w:val="00287EEA"/>
    <w:rsid w:val="00291584"/>
    <w:rsid w:val="002A0901"/>
    <w:rsid w:val="002A1DD0"/>
    <w:rsid w:val="002A68E0"/>
    <w:rsid w:val="002B0D5A"/>
    <w:rsid w:val="002B104F"/>
    <w:rsid w:val="002B3E39"/>
    <w:rsid w:val="002B5918"/>
    <w:rsid w:val="002C047F"/>
    <w:rsid w:val="002C1806"/>
    <w:rsid w:val="002C2C6D"/>
    <w:rsid w:val="002C6C3A"/>
    <w:rsid w:val="002D2EF7"/>
    <w:rsid w:val="002D4BD5"/>
    <w:rsid w:val="002D4CDB"/>
    <w:rsid w:val="002D76D0"/>
    <w:rsid w:val="002D7A58"/>
    <w:rsid w:val="002E2767"/>
    <w:rsid w:val="002E4F94"/>
    <w:rsid w:val="002E522E"/>
    <w:rsid w:val="002E7FC6"/>
    <w:rsid w:val="002F26E6"/>
    <w:rsid w:val="002F45CA"/>
    <w:rsid w:val="002F4A35"/>
    <w:rsid w:val="002F6F7D"/>
    <w:rsid w:val="002F7AED"/>
    <w:rsid w:val="0030213A"/>
    <w:rsid w:val="00303CCB"/>
    <w:rsid w:val="00303DCF"/>
    <w:rsid w:val="003041FC"/>
    <w:rsid w:val="00304469"/>
    <w:rsid w:val="00305EA3"/>
    <w:rsid w:val="003075EF"/>
    <w:rsid w:val="00310179"/>
    <w:rsid w:val="00311A53"/>
    <w:rsid w:val="00312949"/>
    <w:rsid w:val="003155F9"/>
    <w:rsid w:val="003166F5"/>
    <w:rsid w:val="00316757"/>
    <w:rsid w:val="00321936"/>
    <w:rsid w:val="0032300A"/>
    <w:rsid w:val="00323354"/>
    <w:rsid w:val="00326A6E"/>
    <w:rsid w:val="00330A21"/>
    <w:rsid w:val="003342CC"/>
    <w:rsid w:val="003405A9"/>
    <w:rsid w:val="00340B91"/>
    <w:rsid w:val="00340F17"/>
    <w:rsid w:val="003471F7"/>
    <w:rsid w:val="00351CEA"/>
    <w:rsid w:val="00355A85"/>
    <w:rsid w:val="00356F48"/>
    <w:rsid w:val="00357EBB"/>
    <w:rsid w:val="00360114"/>
    <w:rsid w:val="00361B84"/>
    <w:rsid w:val="0036577E"/>
    <w:rsid w:val="00366B29"/>
    <w:rsid w:val="003701CB"/>
    <w:rsid w:val="00370777"/>
    <w:rsid w:val="00374C62"/>
    <w:rsid w:val="00376121"/>
    <w:rsid w:val="0037667E"/>
    <w:rsid w:val="003771BE"/>
    <w:rsid w:val="00377DD7"/>
    <w:rsid w:val="0038029A"/>
    <w:rsid w:val="003850D0"/>
    <w:rsid w:val="00386670"/>
    <w:rsid w:val="00386CD5"/>
    <w:rsid w:val="00387E06"/>
    <w:rsid w:val="00390A73"/>
    <w:rsid w:val="00392C2C"/>
    <w:rsid w:val="00397809"/>
    <w:rsid w:val="00397D0A"/>
    <w:rsid w:val="003A0E85"/>
    <w:rsid w:val="003A1E67"/>
    <w:rsid w:val="003A2843"/>
    <w:rsid w:val="003A426E"/>
    <w:rsid w:val="003B4697"/>
    <w:rsid w:val="003B4A6A"/>
    <w:rsid w:val="003B73A1"/>
    <w:rsid w:val="003B76AD"/>
    <w:rsid w:val="003C08AD"/>
    <w:rsid w:val="003C2E07"/>
    <w:rsid w:val="003C55A1"/>
    <w:rsid w:val="003C7C39"/>
    <w:rsid w:val="003D0248"/>
    <w:rsid w:val="003D0931"/>
    <w:rsid w:val="003D1632"/>
    <w:rsid w:val="003D42B2"/>
    <w:rsid w:val="003D45CF"/>
    <w:rsid w:val="003D5339"/>
    <w:rsid w:val="003E1EA8"/>
    <w:rsid w:val="003F25E0"/>
    <w:rsid w:val="0040458C"/>
    <w:rsid w:val="00404DE8"/>
    <w:rsid w:val="004078F2"/>
    <w:rsid w:val="00410414"/>
    <w:rsid w:val="004114BA"/>
    <w:rsid w:val="004155E8"/>
    <w:rsid w:val="00416C41"/>
    <w:rsid w:val="00420D2D"/>
    <w:rsid w:val="0042588B"/>
    <w:rsid w:val="00430B94"/>
    <w:rsid w:val="00431832"/>
    <w:rsid w:val="00431917"/>
    <w:rsid w:val="004345BE"/>
    <w:rsid w:val="00435F27"/>
    <w:rsid w:val="00436D3B"/>
    <w:rsid w:val="00440A3C"/>
    <w:rsid w:val="00440D56"/>
    <w:rsid w:val="004421D1"/>
    <w:rsid w:val="004465CC"/>
    <w:rsid w:val="00451FC0"/>
    <w:rsid w:val="00452E1D"/>
    <w:rsid w:val="00460933"/>
    <w:rsid w:val="0046177A"/>
    <w:rsid w:val="00466DDA"/>
    <w:rsid w:val="00466EE4"/>
    <w:rsid w:val="004672CE"/>
    <w:rsid w:val="00471559"/>
    <w:rsid w:val="00471753"/>
    <w:rsid w:val="00471C99"/>
    <w:rsid w:val="004740F9"/>
    <w:rsid w:val="004820B5"/>
    <w:rsid w:val="00484082"/>
    <w:rsid w:val="00490B1B"/>
    <w:rsid w:val="00493054"/>
    <w:rsid w:val="004A28C0"/>
    <w:rsid w:val="004B143A"/>
    <w:rsid w:val="004B18F6"/>
    <w:rsid w:val="004B1C06"/>
    <w:rsid w:val="004B47DD"/>
    <w:rsid w:val="004C3C4D"/>
    <w:rsid w:val="004C3CCA"/>
    <w:rsid w:val="004C6F8D"/>
    <w:rsid w:val="004D10EE"/>
    <w:rsid w:val="004D2C5F"/>
    <w:rsid w:val="004D71E9"/>
    <w:rsid w:val="004E0B22"/>
    <w:rsid w:val="004E108D"/>
    <w:rsid w:val="004E17E1"/>
    <w:rsid w:val="004E28E8"/>
    <w:rsid w:val="004E2926"/>
    <w:rsid w:val="004E4729"/>
    <w:rsid w:val="004E5232"/>
    <w:rsid w:val="004E692A"/>
    <w:rsid w:val="004F6358"/>
    <w:rsid w:val="00502A43"/>
    <w:rsid w:val="00504D29"/>
    <w:rsid w:val="00505E37"/>
    <w:rsid w:val="005060B2"/>
    <w:rsid w:val="0050747B"/>
    <w:rsid w:val="005156D9"/>
    <w:rsid w:val="00522EA7"/>
    <w:rsid w:val="00525B0E"/>
    <w:rsid w:val="005313BD"/>
    <w:rsid w:val="0053172C"/>
    <w:rsid w:val="00531C3E"/>
    <w:rsid w:val="00533543"/>
    <w:rsid w:val="00533A90"/>
    <w:rsid w:val="005342EB"/>
    <w:rsid w:val="005343B8"/>
    <w:rsid w:val="00534B5C"/>
    <w:rsid w:val="00535D45"/>
    <w:rsid w:val="00541C1A"/>
    <w:rsid w:val="00544D3D"/>
    <w:rsid w:val="005532B8"/>
    <w:rsid w:val="00553FC8"/>
    <w:rsid w:val="00561110"/>
    <w:rsid w:val="0056519C"/>
    <w:rsid w:val="00574D20"/>
    <w:rsid w:val="005752A8"/>
    <w:rsid w:val="0057640A"/>
    <w:rsid w:val="005775D3"/>
    <w:rsid w:val="00581308"/>
    <w:rsid w:val="0058271F"/>
    <w:rsid w:val="00583113"/>
    <w:rsid w:val="00584643"/>
    <w:rsid w:val="005849B5"/>
    <w:rsid w:val="00584E31"/>
    <w:rsid w:val="005861BA"/>
    <w:rsid w:val="005862A3"/>
    <w:rsid w:val="005A0FCA"/>
    <w:rsid w:val="005A4506"/>
    <w:rsid w:val="005A492F"/>
    <w:rsid w:val="005A697E"/>
    <w:rsid w:val="005B024B"/>
    <w:rsid w:val="005B0B07"/>
    <w:rsid w:val="005C0720"/>
    <w:rsid w:val="005C108A"/>
    <w:rsid w:val="005C39DA"/>
    <w:rsid w:val="005C4AD3"/>
    <w:rsid w:val="005C4AD4"/>
    <w:rsid w:val="005C72EF"/>
    <w:rsid w:val="005D111D"/>
    <w:rsid w:val="005D2703"/>
    <w:rsid w:val="005D38E7"/>
    <w:rsid w:val="005D7B47"/>
    <w:rsid w:val="005E3CF8"/>
    <w:rsid w:val="005E4BA2"/>
    <w:rsid w:val="005F190B"/>
    <w:rsid w:val="005F416B"/>
    <w:rsid w:val="005F675B"/>
    <w:rsid w:val="005F73E2"/>
    <w:rsid w:val="005F785C"/>
    <w:rsid w:val="006007F2"/>
    <w:rsid w:val="00610C1A"/>
    <w:rsid w:val="00611FDF"/>
    <w:rsid w:val="006124F5"/>
    <w:rsid w:val="00612A36"/>
    <w:rsid w:val="00613FAA"/>
    <w:rsid w:val="006150DB"/>
    <w:rsid w:val="00615AFA"/>
    <w:rsid w:val="00622C2A"/>
    <w:rsid w:val="006238AE"/>
    <w:rsid w:val="00623D56"/>
    <w:rsid w:val="00624257"/>
    <w:rsid w:val="006252F2"/>
    <w:rsid w:val="00627668"/>
    <w:rsid w:val="00633393"/>
    <w:rsid w:val="006345F3"/>
    <w:rsid w:val="006354D6"/>
    <w:rsid w:val="00636743"/>
    <w:rsid w:val="00637C0A"/>
    <w:rsid w:val="00642D25"/>
    <w:rsid w:val="00645BE5"/>
    <w:rsid w:val="00646450"/>
    <w:rsid w:val="006500BD"/>
    <w:rsid w:val="006534C7"/>
    <w:rsid w:val="0066240F"/>
    <w:rsid w:val="00662C23"/>
    <w:rsid w:val="00662E8B"/>
    <w:rsid w:val="00664E5A"/>
    <w:rsid w:val="00666271"/>
    <w:rsid w:val="006708AA"/>
    <w:rsid w:val="0067144A"/>
    <w:rsid w:val="00676037"/>
    <w:rsid w:val="0067620D"/>
    <w:rsid w:val="00681BC1"/>
    <w:rsid w:val="00682375"/>
    <w:rsid w:val="00686AA2"/>
    <w:rsid w:val="00687ABC"/>
    <w:rsid w:val="006908ED"/>
    <w:rsid w:val="00697588"/>
    <w:rsid w:val="006A01AA"/>
    <w:rsid w:val="006A4FA0"/>
    <w:rsid w:val="006A51A7"/>
    <w:rsid w:val="006A743C"/>
    <w:rsid w:val="006B0484"/>
    <w:rsid w:val="006B4E6E"/>
    <w:rsid w:val="006B5F27"/>
    <w:rsid w:val="006B6ABA"/>
    <w:rsid w:val="006B73D8"/>
    <w:rsid w:val="006C0DA0"/>
    <w:rsid w:val="006C0DB4"/>
    <w:rsid w:val="006C25D7"/>
    <w:rsid w:val="006C2D83"/>
    <w:rsid w:val="006C53E0"/>
    <w:rsid w:val="006C5D08"/>
    <w:rsid w:val="006D3D37"/>
    <w:rsid w:val="006D3D6E"/>
    <w:rsid w:val="006D464E"/>
    <w:rsid w:val="006D6036"/>
    <w:rsid w:val="006D68EA"/>
    <w:rsid w:val="006D6C13"/>
    <w:rsid w:val="006E1373"/>
    <w:rsid w:val="006E1D17"/>
    <w:rsid w:val="006E324C"/>
    <w:rsid w:val="006E343A"/>
    <w:rsid w:val="006E64B4"/>
    <w:rsid w:val="006E6534"/>
    <w:rsid w:val="006F0B58"/>
    <w:rsid w:val="006F489D"/>
    <w:rsid w:val="006F4C57"/>
    <w:rsid w:val="006F6175"/>
    <w:rsid w:val="006F6391"/>
    <w:rsid w:val="006F6FFF"/>
    <w:rsid w:val="007042F5"/>
    <w:rsid w:val="00704D51"/>
    <w:rsid w:val="00707FF0"/>
    <w:rsid w:val="00714A07"/>
    <w:rsid w:val="00715BF5"/>
    <w:rsid w:val="00724E94"/>
    <w:rsid w:val="007268BE"/>
    <w:rsid w:val="00730F3E"/>
    <w:rsid w:val="00731FEF"/>
    <w:rsid w:val="0073338A"/>
    <w:rsid w:val="00735CFE"/>
    <w:rsid w:val="007365BF"/>
    <w:rsid w:val="00740F9D"/>
    <w:rsid w:val="007450E9"/>
    <w:rsid w:val="0075239C"/>
    <w:rsid w:val="0075756B"/>
    <w:rsid w:val="007614CF"/>
    <w:rsid w:val="00762D2C"/>
    <w:rsid w:val="0076509D"/>
    <w:rsid w:val="007655BE"/>
    <w:rsid w:val="00771D66"/>
    <w:rsid w:val="00772A7C"/>
    <w:rsid w:val="00773DD3"/>
    <w:rsid w:val="007749A8"/>
    <w:rsid w:val="00774EC9"/>
    <w:rsid w:val="00775A0C"/>
    <w:rsid w:val="007774F3"/>
    <w:rsid w:val="00781537"/>
    <w:rsid w:val="00782C5C"/>
    <w:rsid w:val="00784426"/>
    <w:rsid w:val="00784974"/>
    <w:rsid w:val="007862FE"/>
    <w:rsid w:val="007931D6"/>
    <w:rsid w:val="00793CE5"/>
    <w:rsid w:val="00794121"/>
    <w:rsid w:val="00794F1A"/>
    <w:rsid w:val="00795B70"/>
    <w:rsid w:val="007A0927"/>
    <w:rsid w:val="007A4884"/>
    <w:rsid w:val="007A5E28"/>
    <w:rsid w:val="007A6DBA"/>
    <w:rsid w:val="007A77A5"/>
    <w:rsid w:val="007B2CDD"/>
    <w:rsid w:val="007B437A"/>
    <w:rsid w:val="007B47DF"/>
    <w:rsid w:val="007B649A"/>
    <w:rsid w:val="007B65F2"/>
    <w:rsid w:val="007B67D6"/>
    <w:rsid w:val="007B6C55"/>
    <w:rsid w:val="007B6FCB"/>
    <w:rsid w:val="007C161C"/>
    <w:rsid w:val="007C5527"/>
    <w:rsid w:val="007D0076"/>
    <w:rsid w:val="007D1A01"/>
    <w:rsid w:val="007D5304"/>
    <w:rsid w:val="007D5965"/>
    <w:rsid w:val="007D73D8"/>
    <w:rsid w:val="007E1553"/>
    <w:rsid w:val="007E19DC"/>
    <w:rsid w:val="007E2258"/>
    <w:rsid w:val="007E646E"/>
    <w:rsid w:val="007F29E9"/>
    <w:rsid w:val="008008A8"/>
    <w:rsid w:val="008049A9"/>
    <w:rsid w:val="0080564E"/>
    <w:rsid w:val="00810B5C"/>
    <w:rsid w:val="00811F11"/>
    <w:rsid w:val="00813D5F"/>
    <w:rsid w:val="00814D73"/>
    <w:rsid w:val="00817AD2"/>
    <w:rsid w:val="00820335"/>
    <w:rsid w:val="00821C19"/>
    <w:rsid w:val="00823F8D"/>
    <w:rsid w:val="008261B2"/>
    <w:rsid w:val="00830545"/>
    <w:rsid w:val="00836050"/>
    <w:rsid w:val="00836E7E"/>
    <w:rsid w:val="00837CAE"/>
    <w:rsid w:val="00844753"/>
    <w:rsid w:val="00844FA9"/>
    <w:rsid w:val="00846796"/>
    <w:rsid w:val="00847725"/>
    <w:rsid w:val="00850567"/>
    <w:rsid w:val="008511A6"/>
    <w:rsid w:val="0085615F"/>
    <w:rsid w:val="0085731F"/>
    <w:rsid w:val="00862449"/>
    <w:rsid w:val="00867495"/>
    <w:rsid w:val="008716BE"/>
    <w:rsid w:val="00871CB3"/>
    <w:rsid w:val="00873845"/>
    <w:rsid w:val="00875787"/>
    <w:rsid w:val="00876251"/>
    <w:rsid w:val="008766DD"/>
    <w:rsid w:val="008767D1"/>
    <w:rsid w:val="00876D2E"/>
    <w:rsid w:val="008774B3"/>
    <w:rsid w:val="00880775"/>
    <w:rsid w:val="00883488"/>
    <w:rsid w:val="00886F27"/>
    <w:rsid w:val="008870BC"/>
    <w:rsid w:val="00890B98"/>
    <w:rsid w:val="008951D8"/>
    <w:rsid w:val="00895E36"/>
    <w:rsid w:val="008A0393"/>
    <w:rsid w:val="008A2CFA"/>
    <w:rsid w:val="008A37E3"/>
    <w:rsid w:val="008A6B52"/>
    <w:rsid w:val="008B2CB5"/>
    <w:rsid w:val="008B70B6"/>
    <w:rsid w:val="008B7768"/>
    <w:rsid w:val="008C3563"/>
    <w:rsid w:val="008C45D1"/>
    <w:rsid w:val="008C7A24"/>
    <w:rsid w:val="008D1E53"/>
    <w:rsid w:val="008D3436"/>
    <w:rsid w:val="008D7064"/>
    <w:rsid w:val="008E266F"/>
    <w:rsid w:val="008E3797"/>
    <w:rsid w:val="008E43CD"/>
    <w:rsid w:val="008E6E74"/>
    <w:rsid w:val="008F287F"/>
    <w:rsid w:val="008F2963"/>
    <w:rsid w:val="008F4F5A"/>
    <w:rsid w:val="008F50A1"/>
    <w:rsid w:val="008F5CEC"/>
    <w:rsid w:val="008F63AD"/>
    <w:rsid w:val="008F6619"/>
    <w:rsid w:val="008F7B28"/>
    <w:rsid w:val="00900A6C"/>
    <w:rsid w:val="00901DFA"/>
    <w:rsid w:val="00902403"/>
    <w:rsid w:val="00907DDE"/>
    <w:rsid w:val="00911556"/>
    <w:rsid w:val="00912A9B"/>
    <w:rsid w:val="009137A6"/>
    <w:rsid w:val="0091516B"/>
    <w:rsid w:val="00915FB3"/>
    <w:rsid w:val="009202EB"/>
    <w:rsid w:val="00921E3F"/>
    <w:rsid w:val="009259BD"/>
    <w:rsid w:val="0092767E"/>
    <w:rsid w:val="00927AC8"/>
    <w:rsid w:val="00931E0E"/>
    <w:rsid w:val="00933680"/>
    <w:rsid w:val="00933D3F"/>
    <w:rsid w:val="00934557"/>
    <w:rsid w:val="00943D4B"/>
    <w:rsid w:val="009441A7"/>
    <w:rsid w:val="00946082"/>
    <w:rsid w:val="0095115E"/>
    <w:rsid w:val="00952681"/>
    <w:rsid w:val="00955755"/>
    <w:rsid w:val="00955927"/>
    <w:rsid w:val="00956AC8"/>
    <w:rsid w:val="009578FE"/>
    <w:rsid w:val="0096085B"/>
    <w:rsid w:val="009609F3"/>
    <w:rsid w:val="00961F0A"/>
    <w:rsid w:val="00963B62"/>
    <w:rsid w:val="00965544"/>
    <w:rsid w:val="00967ABD"/>
    <w:rsid w:val="009744F6"/>
    <w:rsid w:val="0097530A"/>
    <w:rsid w:val="009756BE"/>
    <w:rsid w:val="0097590C"/>
    <w:rsid w:val="00975F84"/>
    <w:rsid w:val="00981A41"/>
    <w:rsid w:val="00990470"/>
    <w:rsid w:val="00991456"/>
    <w:rsid w:val="00996AF3"/>
    <w:rsid w:val="009A0C06"/>
    <w:rsid w:val="009A2F61"/>
    <w:rsid w:val="009A6403"/>
    <w:rsid w:val="009B000B"/>
    <w:rsid w:val="009B1274"/>
    <w:rsid w:val="009B171F"/>
    <w:rsid w:val="009B5AA0"/>
    <w:rsid w:val="009B6A46"/>
    <w:rsid w:val="009C197C"/>
    <w:rsid w:val="009C35A5"/>
    <w:rsid w:val="009C41D5"/>
    <w:rsid w:val="009C5D00"/>
    <w:rsid w:val="009C7B38"/>
    <w:rsid w:val="009C7D61"/>
    <w:rsid w:val="009D57F4"/>
    <w:rsid w:val="009D7868"/>
    <w:rsid w:val="009E36C6"/>
    <w:rsid w:val="009E5FAC"/>
    <w:rsid w:val="009E6A9E"/>
    <w:rsid w:val="009E7E9D"/>
    <w:rsid w:val="009F0CB2"/>
    <w:rsid w:val="009F4FED"/>
    <w:rsid w:val="00A021B1"/>
    <w:rsid w:val="00A0256A"/>
    <w:rsid w:val="00A02A7A"/>
    <w:rsid w:val="00A060AB"/>
    <w:rsid w:val="00A13EB4"/>
    <w:rsid w:val="00A14CDC"/>
    <w:rsid w:val="00A15135"/>
    <w:rsid w:val="00A17432"/>
    <w:rsid w:val="00A176BF"/>
    <w:rsid w:val="00A20270"/>
    <w:rsid w:val="00A25A53"/>
    <w:rsid w:val="00A27090"/>
    <w:rsid w:val="00A307C9"/>
    <w:rsid w:val="00A3264B"/>
    <w:rsid w:val="00A333DE"/>
    <w:rsid w:val="00A346A9"/>
    <w:rsid w:val="00A35FAD"/>
    <w:rsid w:val="00A40A3C"/>
    <w:rsid w:val="00A422E5"/>
    <w:rsid w:val="00A44188"/>
    <w:rsid w:val="00A46093"/>
    <w:rsid w:val="00A461C9"/>
    <w:rsid w:val="00A5119F"/>
    <w:rsid w:val="00A524E7"/>
    <w:rsid w:val="00A53E34"/>
    <w:rsid w:val="00A61109"/>
    <w:rsid w:val="00A62770"/>
    <w:rsid w:val="00A636CE"/>
    <w:rsid w:val="00A647DC"/>
    <w:rsid w:val="00A658F1"/>
    <w:rsid w:val="00A660AB"/>
    <w:rsid w:val="00A7157C"/>
    <w:rsid w:val="00A7467F"/>
    <w:rsid w:val="00A748E2"/>
    <w:rsid w:val="00A7723C"/>
    <w:rsid w:val="00A8030C"/>
    <w:rsid w:val="00A81702"/>
    <w:rsid w:val="00A82260"/>
    <w:rsid w:val="00A86795"/>
    <w:rsid w:val="00A901A7"/>
    <w:rsid w:val="00A90237"/>
    <w:rsid w:val="00A91C57"/>
    <w:rsid w:val="00A96912"/>
    <w:rsid w:val="00AA1014"/>
    <w:rsid w:val="00AA3FF6"/>
    <w:rsid w:val="00AA59BE"/>
    <w:rsid w:val="00AA6A49"/>
    <w:rsid w:val="00AA6C10"/>
    <w:rsid w:val="00AB1856"/>
    <w:rsid w:val="00AB3134"/>
    <w:rsid w:val="00AB3218"/>
    <w:rsid w:val="00AB3228"/>
    <w:rsid w:val="00AB4C52"/>
    <w:rsid w:val="00AB7CDC"/>
    <w:rsid w:val="00AC4868"/>
    <w:rsid w:val="00AD402A"/>
    <w:rsid w:val="00AD585C"/>
    <w:rsid w:val="00AE0F3E"/>
    <w:rsid w:val="00AE39AD"/>
    <w:rsid w:val="00AF2FC8"/>
    <w:rsid w:val="00AF4065"/>
    <w:rsid w:val="00AF4718"/>
    <w:rsid w:val="00B01E1B"/>
    <w:rsid w:val="00B03811"/>
    <w:rsid w:val="00B05BA6"/>
    <w:rsid w:val="00B11C91"/>
    <w:rsid w:val="00B12AB3"/>
    <w:rsid w:val="00B173BD"/>
    <w:rsid w:val="00B2042E"/>
    <w:rsid w:val="00B206D9"/>
    <w:rsid w:val="00B218F0"/>
    <w:rsid w:val="00B21D01"/>
    <w:rsid w:val="00B23089"/>
    <w:rsid w:val="00B240BB"/>
    <w:rsid w:val="00B24D67"/>
    <w:rsid w:val="00B26570"/>
    <w:rsid w:val="00B31653"/>
    <w:rsid w:val="00B31F22"/>
    <w:rsid w:val="00B333E5"/>
    <w:rsid w:val="00B3518C"/>
    <w:rsid w:val="00B37CB3"/>
    <w:rsid w:val="00B40380"/>
    <w:rsid w:val="00B43101"/>
    <w:rsid w:val="00B43BB0"/>
    <w:rsid w:val="00B4529E"/>
    <w:rsid w:val="00B47DF2"/>
    <w:rsid w:val="00B5363B"/>
    <w:rsid w:val="00B5399E"/>
    <w:rsid w:val="00B5463A"/>
    <w:rsid w:val="00B552F1"/>
    <w:rsid w:val="00B5631F"/>
    <w:rsid w:val="00B5689A"/>
    <w:rsid w:val="00B57A58"/>
    <w:rsid w:val="00B61C7B"/>
    <w:rsid w:val="00B65CE1"/>
    <w:rsid w:val="00B72996"/>
    <w:rsid w:val="00B7549B"/>
    <w:rsid w:val="00B779DD"/>
    <w:rsid w:val="00B866D2"/>
    <w:rsid w:val="00B868A6"/>
    <w:rsid w:val="00B871CF"/>
    <w:rsid w:val="00B874AB"/>
    <w:rsid w:val="00B8788F"/>
    <w:rsid w:val="00B92B9E"/>
    <w:rsid w:val="00BA4355"/>
    <w:rsid w:val="00BA4A17"/>
    <w:rsid w:val="00BB1D4F"/>
    <w:rsid w:val="00BB3DD5"/>
    <w:rsid w:val="00BB4B1C"/>
    <w:rsid w:val="00BC11B7"/>
    <w:rsid w:val="00BC27A2"/>
    <w:rsid w:val="00BC4649"/>
    <w:rsid w:val="00BC73AD"/>
    <w:rsid w:val="00BE09C5"/>
    <w:rsid w:val="00BE2AD7"/>
    <w:rsid w:val="00BE4142"/>
    <w:rsid w:val="00BE5222"/>
    <w:rsid w:val="00BE57E3"/>
    <w:rsid w:val="00BF0DFF"/>
    <w:rsid w:val="00BF2990"/>
    <w:rsid w:val="00BF3AF3"/>
    <w:rsid w:val="00BF4C12"/>
    <w:rsid w:val="00BF5788"/>
    <w:rsid w:val="00BF7CFF"/>
    <w:rsid w:val="00C01542"/>
    <w:rsid w:val="00C02963"/>
    <w:rsid w:val="00C03225"/>
    <w:rsid w:val="00C07AA6"/>
    <w:rsid w:val="00C10F56"/>
    <w:rsid w:val="00C15348"/>
    <w:rsid w:val="00C1545B"/>
    <w:rsid w:val="00C22684"/>
    <w:rsid w:val="00C25853"/>
    <w:rsid w:val="00C333FC"/>
    <w:rsid w:val="00C40308"/>
    <w:rsid w:val="00C428E0"/>
    <w:rsid w:val="00C45D2C"/>
    <w:rsid w:val="00C46E88"/>
    <w:rsid w:val="00C47254"/>
    <w:rsid w:val="00C506AC"/>
    <w:rsid w:val="00C516A7"/>
    <w:rsid w:val="00C52162"/>
    <w:rsid w:val="00C530D7"/>
    <w:rsid w:val="00C55C03"/>
    <w:rsid w:val="00C57F34"/>
    <w:rsid w:val="00C639E6"/>
    <w:rsid w:val="00C65313"/>
    <w:rsid w:val="00C67A1C"/>
    <w:rsid w:val="00C7340A"/>
    <w:rsid w:val="00C759B0"/>
    <w:rsid w:val="00C77291"/>
    <w:rsid w:val="00C775DD"/>
    <w:rsid w:val="00C802F8"/>
    <w:rsid w:val="00C805CE"/>
    <w:rsid w:val="00C84390"/>
    <w:rsid w:val="00C84F32"/>
    <w:rsid w:val="00C873FB"/>
    <w:rsid w:val="00C94E20"/>
    <w:rsid w:val="00C9555C"/>
    <w:rsid w:val="00C977EB"/>
    <w:rsid w:val="00C97A0A"/>
    <w:rsid w:val="00CA134D"/>
    <w:rsid w:val="00CA26DE"/>
    <w:rsid w:val="00CA3DD5"/>
    <w:rsid w:val="00CA4C77"/>
    <w:rsid w:val="00CA712D"/>
    <w:rsid w:val="00CA7AEB"/>
    <w:rsid w:val="00CB08E7"/>
    <w:rsid w:val="00CB0BBF"/>
    <w:rsid w:val="00CB22D8"/>
    <w:rsid w:val="00CB2C1D"/>
    <w:rsid w:val="00CC2C08"/>
    <w:rsid w:val="00CC2D2D"/>
    <w:rsid w:val="00CC312F"/>
    <w:rsid w:val="00CC79AD"/>
    <w:rsid w:val="00CD0758"/>
    <w:rsid w:val="00CD31AF"/>
    <w:rsid w:val="00CD3BB2"/>
    <w:rsid w:val="00CD49FA"/>
    <w:rsid w:val="00CD560E"/>
    <w:rsid w:val="00CD611E"/>
    <w:rsid w:val="00CD7766"/>
    <w:rsid w:val="00CE39C2"/>
    <w:rsid w:val="00CE7D76"/>
    <w:rsid w:val="00CF2D76"/>
    <w:rsid w:val="00D00566"/>
    <w:rsid w:val="00D02EB2"/>
    <w:rsid w:val="00D053A9"/>
    <w:rsid w:val="00D06B01"/>
    <w:rsid w:val="00D12068"/>
    <w:rsid w:val="00D12170"/>
    <w:rsid w:val="00D129CE"/>
    <w:rsid w:val="00D14A17"/>
    <w:rsid w:val="00D15C79"/>
    <w:rsid w:val="00D27194"/>
    <w:rsid w:val="00D313BB"/>
    <w:rsid w:val="00D3437D"/>
    <w:rsid w:val="00D362A6"/>
    <w:rsid w:val="00D43BED"/>
    <w:rsid w:val="00D453AB"/>
    <w:rsid w:val="00D46FAC"/>
    <w:rsid w:val="00D47F30"/>
    <w:rsid w:val="00D47F80"/>
    <w:rsid w:val="00D54FA8"/>
    <w:rsid w:val="00D553B6"/>
    <w:rsid w:val="00D57A00"/>
    <w:rsid w:val="00D641DC"/>
    <w:rsid w:val="00D70A8D"/>
    <w:rsid w:val="00D73214"/>
    <w:rsid w:val="00D76361"/>
    <w:rsid w:val="00D7777A"/>
    <w:rsid w:val="00D85D5C"/>
    <w:rsid w:val="00D9251E"/>
    <w:rsid w:val="00D93A0F"/>
    <w:rsid w:val="00D94516"/>
    <w:rsid w:val="00DA0430"/>
    <w:rsid w:val="00DA298B"/>
    <w:rsid w:val="00DA34F3"/>
    <w:rsid w:val="00DA5C80"/>
    <w:rsid w:val="00DB245C"/>
    <w:rsid w:val="00DC0887"/>
    <w:rsid w:val="00DC22C5"/>
    <w:rsid w:val="00DC36ED"/>
    <w:rsid w:val="00DD0113"/>
    <w:rsid w:val="00DD2403"/>
    <w:rsid w:val="00DD409D"/>
    <w:rsid w:val="00DD7F3A"/>
    <w:rsid w:val="00DE03CF"/>
    <w:rsid w:val="00DE0E74"/>
    <w:rsid w:val="00DE20E7"/>
    <w:rsid w:val="00DE390F"/>
    <w:rsid w:val="00DF4DF8"/>
    <w:rsid w:val="00DF5456"/>
    <w:rsid w:val="00E00913"/>
    <w:rsid w:val="00E00971"/>
    <w:rsid w:val="00E02ACC"/>
    <w:rsid w:val="00E05847"/>
    <w:rsid w:val="00E05AC6"/>
    <w:rsid w:val="00E06183"/>
    <w:rsid w:val="00E07E68"/>
    <w:rsid w:val="00E10446"/>
    <w:rsid w:val="00E152FD"/>
    <w:rsid w:val="00E16C3A"/>
    <w:rsid w:val="00E20DD2"/>
    <w:rsid w:val="00E25772"/>
    <w:rsid w:val="00E2642A"/>
    <w:rsid w:val="00E301D0"/>
    <w:rsid w:val="00E326FD"/>
    <w:rsid w:val="00E35B5A"/>
    <w:rsid w:val="00E35EE8"/>
    <w:rsid w:val="00E41037"/>
    <w:rsid w:val="00E417CD"/>
    <w:rsid w:val="00E41DBA"/>
    <w:rsid w:val="00E45E57"/>
    <w:rsid w:val="00E46896"/>
    <w:rsid w:val="00E47646"/>
    <w:rsid w:val="00E503F4"/>
    <w:rsid w:val="00E5581F"/>
    <w:rsid w:val="00E6245F"/>
    <w:rsid w:val="00E64BB1"/>
    <w:rsid w:val="00E64E3A"/>
    <w:rsid w:val="00E670E1"/>
    <w:rsid w:val="00E8033E"/>
    <w:rsid w:val="00E80634"/>
    <w:rsid w:val="00E81107"/>
    <w:rsid w:val="00E82D69"/>
    <w:rsid w:val="00E839A3"/>
    <w:rsid w:val="00E84825"/>
    <w:rsid w:val="00E850B0"/>
    <w:rsid w:val="00E90D5F"/>
    <w:rsid w:val="00E91472"/>
    <w:rsid w:val="00E93811"/>
    <w:rsid w:val="00E941B9"/>
    <w:rsid w:val="00E95234"/>
    <w:rsid w:val="00EA02B8"/>
    <w:rsid w:val="00EA4CD3"/>
    <w:rsid w:val="00EB1087"/>
    <w:rsid w:val="00EB3245"/>
    <w:rsid w:val="00EB7BE2"/>
    <w:rsid w:val="00EC2FE4"/>
    <w:rsid w:val="00EC4227"/>
    <w:rsid w:val="00EC497A"/>
    <w:rsid w:val="00EE2390"/>
    <w:rsid w:val="00EF2272"/>
    <w:rsid w:val="00EF354C"/>
    <w:rsid w:val="00EF35B8"/>
    <w:rsid w:val="00EF4225"/>
    <w:rsid w:val="00EF4507"/>
    <w:rsid w:val="00EF4C74"/>
    <w:rsid w:val="00EF50C6"/>
    <w:rsid w:val="00EF6174"/>
    <w:rsid w:val="00F036ED"/>
    <w:rsid w:val="00F11098"/>
    <w:rsid w:val="00F11C8A"/>
    <w:rsid w:val="00F156DF"/>
    <w:rsid w:val="00F160AF"/>
    <w:rsid w:val="00F16E74"/>
    <w:rsid w:val="00F23B77"/>
    <w:rsid w:val="00F42A93"/>
    <w:rsid w:val="00F4538E"/>
    <w:rsid w:val="00F4791E"/>
    <w:rsid w:val="00F50641"/>
    <w:rsid w:val="00F54383"/>
    <w:rsid w:val="00F564EC"/>
    <w:rsid w:val="00F570CD"/>
    <w:rsid w:val="00F571F4"/>
    <w:rsid w:val="00F617BE"/>
    <w:rsid w:val="00F635A0"/>
    <w:rsid w:val="00F6457F"/>
    <w:rsid w:val="00F65F96"/>
    <w:rsid w:val="00F660DC"/>
    <w:rsid w:val="00F662C8"/>
    <w:rsid w:val="00F666CD"/>
    <w:rsid w:val="00F66E6C"/>
    <w:rsid w:val="00F675A7"/>
    <w:rsid w:val="00F67BBA"/>
    <w:rsid w:val="00F73D46"/>
    <w:rsid w:val="00F76D68"/>
    <w:rsid w:val="00F778C0"/>
    <w:rsid w:val="00F812D2"/>
    <w:rsid w:val="00F8286A"/>
    <w:rsid w:val="00F85560"/>
    <w:rsid w:val="00F85680"/>
    <w:rsid w:val="00F873B1"/>
    <w:rsid w:val="00F92061"/>
    <w:rsid w:val="00F925EB"/>
    <w:rsid w:val="00FA22F8"/>
    <w:rsid w:val="00FA53ED"/>
    <w:rsid w:val="00FA7EA3"/>
    <w:rsid w:val="00FB0059"/>
    <w:rsid w:val="00FB024A"/>
    <w:rsid w:val="00FB0A11"/>
    <w:rsid w:val="00FB2E1A"/>
    <w:rsid w:val="00FB4F4A"/>
    <w:rsid w:val="00FB540B"/>
    <w:rsid w:val="00FB55BA"/>
    <w:rsid w:val="00FB5C94"/>
    <w:rsid w:val="00FC0381"/>
    <w:rsid w:val="00FC0ED0"/>
    <w:rsid w:val="00FC53D7"/>
    <w:rsid w:val="00FD0E92"/>
    <w:rsid w:val="00FD1299"/>
    <w:rsid w:val="00FD6EF7"/>
    <w:rsid w:val="00FD7917"/>
    <w:rsid w:val="00FE2006"/>
    <w:rsid w:val="00FE3541"/>
    <w:rsid w:val="00FE7BF6"/>
    <w:rsid w:val="00FF0446"/>
    <w:rsid w:val="00FF05D6"/>
    <w:rsid w:val="00FF1571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439B3"/>
  <w15:chartTrackingRefBased/>
  <w15:docId w15:val="{7C10840B-0497-439D-82CA-D80A96F8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9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8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0A8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4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436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9A0C0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A0C06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20D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20D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0DD2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D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0D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611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B333E5"/>
    <w:rPr>
      <w:color w:val="808080"/>
    </w:rPr>
  </w:style>
  <w:style w:type="paragraph" w:styleId="af1">
    <w:name w:val="header"/>
    <w:basedOn w:val="a"/>
    <w:link w:val="af2"/>
    <w:uiPriority w:val="99"/>
    <w:unhideWhenUsed/>
    <w:rsid w:val="00F666CD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666CD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666CD"/>
    <w:pPr>
      <w:tabs>
        <w:tab w:val="center" w:pos="4680"/>
        <w:tab w:val="right" w:pos="936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666CD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B40380"/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B40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B40380"/>
    <w:rPr>
      <w:vertAlign w:val="superscript"/>
    </w:rPr>
  </w:style>
  <w:style w:type="table" w:styleId="af8">
    <w:name w:val="Table Grid"/>
    <w:basedOn w:val="a1"/>
    <w:uiPriority w:val="39"/>
    <w:rsid w:val="0096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5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1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6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1A"/>
    <w:rsid w:val="000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31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4F5BF2-D382-4D64-B69E-A15DE1CE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Методология расчета Ключевых Показателей Эффективности Альфа Капитал</vt:lpstr>
      <vt:lpstr>Методология расчета Ключевых Показателей Эффективности Альфа Капитал</vt:lpstr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Методология расчета Ключевых Показателей Эффективности Альфа Капитал</dc:title>
  <dc:subject>Альфа Капитал, июль 2019</dc:subject>
  <dc:creator>Панюшкин Алексей Дмитриевич</dc:creator>
  <cp:keywords/>
  <dc:description/>
  <cp:lastModifiedBy>Брагин Владимир Александрович</cp:lastModifiedBy>
  <cp:revision>3</cp:revision>
  <cp:lastPrinted>2021-03-19T12:35:00Z</cp:lastPrinted>
  <dcterms:created xsi:type="dcterms:W3CDTF">2023-01-24T13:07:00Z</dcterms:created>
  <dcterms:modified xsi:type="dcterms:W3CDTF">2023-01-24T14:02:00Z</dcterms:modified>
</cp:coreProperties>
</file>