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9599A6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F6176">
        <w:rPr>
          <w:rFonts w:cstheme="minorHAnsi"/>
        </w:rPr>
        <w:t>31</w:t>
      </w:r>
      <w:r w:rsidR="00986649" w:rsidRPr="002A6763">
        <w:rPr>
          <w:rFonts w:cstheme="minorHAnsi"/>
        </w:rPr>
        <w:t>.</w:t>
      </w:r>
      <w:r w:rsidR="001F6176">
        <w:rPr>
          <w:rFonts w:cstheme="minorHAnsi"/>
        </w:rPr>
        <w:t>03</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6EC68F3" w:rsidR="00B608FC" w:rsidRPr="006D6CD8" w:rsidRDefault="00117C6B" w:rsidP="001F6176">
            <w:pPr>
              <w:spacing w:line="276" w:lineRule="auto"/>
              <w:jc w:val="center"/>
              <w:rPr>
                <w:rFonts w:cstheme="minorHAnsi"/>
              </w:rPr>
            </w:pPr>
            <w:r>
              <w:rPr>
                <w:rFonts w:cstheme="minorHAnsi"/>
              </w:rPr>
              <w:t>7</w:t>
            </w:r>
            <w:r w:rsidR="000110D6">
              <w:rPr>
                <w:rFonts w:cstheme="minorHAnsi"/>
              </w:rPr>
              <w:t>7</w:t>
            </w:r>
            <w:r w:rsidR="006D6CD8" w:rsidRPr="006D6CD8">
              <w:rPr>
                <w:rFonts w:cstheme="minorHAnsi"/>
              </w:rPr>
              <w:t>,</w:t>
            </w:r>
            <w:r w:rsidR="001F6176">
              <w:rPr>
                <w:rFonts w:cstheme="minorHAnsi"/>
              </w:rPr>
              <w:t>53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E3B58EE" w:rsidR="00A52C36" w:rsidRPr="006D6CD8" w:rsidRDefault="000110D6" w:rsidP="004F1F86">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6</w:t>
            </w:r>
            <w:r w:rsidR="001F6176">
              <w:rPr>
                <w:rFonts w:cstheme="minorHAnsi"/>
              </w:rPr>
              <w:t>7</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6E681ACD" w:rsidR="005C0AFF" w:rsidRPr="006D6CD8" w:rsidRDefault="00BC4E8A" w:rsidP="000110D6">
            <w:pPr>
              <w:spacing w:line="276" w:lineRule="auto"/>
              <w:jc w:val="center"/>
              <w:rPr>
                <w:rFonts w:cstheme="minorHAnsi"/>
              </w:rPr>
            </w:pPr>
            <w:r>
              <w:rPr>
                <w:rFonts w:cstheme="minorHAnsi"/>
              </w:rPr>
              <w:t>5</w:t>
            </w:r>
            <w:r w:rsidR="006D6CD8" w:rsidRPr="006D6CD8">
              <w:rPr>
                <w:rFonts w:cstheme="minorHAnsi"/>
              </w:rPr>
              <w:t>,</w:t>
            </w:r>
            <w:r w:rsidR="001F6176">
              <w:rPr>
                <w:rFonts w:cstheme="minorHAnsi"/>
              </w:rPr>
              <w:t>79</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211D99B1" w:rsidR="00A52C36" w:rsidRPr="006D6CD8" w:rsidRDefault="006D6CD8" w:rsidP="001C14BA">
            <w:pPr>
              <w:spacing w:line="276" w:lineRule="auto"/>
              <w:jc w:val="center"/>
              <w:rPr>
                <w:rFonts w:cstheme="minorHAnsi"/>
              </w:rPr>
            </w:pPr>
            <w:r w:rsidRPr="006D6CD8">
              <w:rPr>
                <w:rFonts w:cstheme="minorHAnsi"/>
              </w:rPr>
              <w:t>4,</w:t>
            </w:r>
            <w:r w:rsidR="001F6176">
              <w:rPr>
                <w:rFonts w:cstheme="minorHAnsi"/>
              </w:rPr>
              <w:t>08</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6D6610BE" w:rsidR="00A26802" w:rsidRPr="006D6CD8" w:rsidRDefault="001F6176" w:rsidP="001F6176">
            <w:pPr>
              <w:spacing w:line="276" w:lineRule="auto"/>
              <w:jc w:val="center"/>
              <w:rPr>
                <w:rFonts w:cstheme="minorHAnsi"/>
              </w:rPr>
            </w:pPr>
            <w:r>
              <w:rPr>
                <w:rFonts w:cstheme="minorHAnsi"/>
              </w:rPr>
              <w:t>2</w:t>
            </w:r>
            <w:r w:rsidR="00A26802">
              <w:rPr>
                <w:rFonts w:cstheme="minorHAnsi"/>
              </w:rPr>
              <w:t>,</w:t>
            </w:r>
            <w:r>
              <w:rPr>
                <w:rFonts w:cstheme="minorHAnsi"/>
              </w:rPr>
              <w:t>29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1D518FC4" w:rsidR="008D510F" w:rsidRPr="003B455E" w:rsidRDefault="000110D6" w:rsidP="001F6176">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1F6176">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r w:rsidRPr="00EB78B5">
              <w:rPr>
                <w:rFonts w:asciiTheme="minorHAnsi" w:hAnsiTheme="minorHAnsi" w:cstheme="minorHAnsi"/>
                <w:sz w:val="12"/>
                <w:szCs w:val="12"/>
              </w:rPr>
              <w:t>)</w:t>
            </w:r>
          </w:p>
        </w:tc>
      </w:tr>
      <w:tr w:rsidR="001F6176" w:rsidRPr="00C50091" w14:paraId="163F6D42" w14:textId="77777777" w:rsidTr="00717D7C">
        <w:tc>
          <w:tcPr>
            <w:tcW w:w="4365" w:type="dxa"/>
            <w:vMerge/>
          </w:tcPr>
          <w:p w14:paraId="439EA073" w14:textId="77777777" w:rsidR="001F6176" w:rsidRPr="003B455E" w:rsidRDefault="001F6176" w:rsidP="001F6176">
            <w:pPr>
              <w:rPr>
                <w:rFonts w:cstheme="minorHAnsi"/>
              </w:rPr>
            </w:pPr>
          </w:p>
        </w:tc>
        <w:tc>
          <w:tcPr>
            <w:tcW w:w="1380" w:type="dxa"/>
            <w:vAlign w:val="bottom"/>
          </w:tcPr>
          <w:p w14:paraId="377E34DE"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02D71DD" w:rsidR="001F6176" w:rsidRPr="003B455E" w:rsidRDefault="001F6176" w:rsidP="001F6176">
            <w:pPr>
              <w:pStyle w:val="ConsPlusNormal"/>
              <w:rPr>
                <w:rFonts w:asciiTheme="minorHAnsi" w:hAnsiTheme="minorHAnsi" w:cstheme="minorHAnsi"/>
              </w:rPr>
            </w:pPr>
            <w:r>
              <w:rPr>
                <w:color w:val="000000"/>
                <w:szCs w:val="22"/>
              </w:rPr>
              <w:t>2,18%</w:t>
            </w:r>
          </w:p>
        </w:tc>
        <w:tc>
          <w:tcPr>
            <w:tcW w:w="1846" w:type="dxa"/>
            <w:vAlign w:val="bottom"/>
          </w:tcPr>
          <w:p w14:paraId="5DA42905" w14:textId="3BBE09BA" w:rsidR="001F6176" w:rsidRPr="00184101" w:rsidRDefault="001F6176" w:rsidP="001F6176">
            <w:pPr>
              <w:pStyle w:val="ConsPlusNormal"/>
              <w:rPr>
                <w:rFonts w:asciiTheme="minorHAnsi" w:hAnsiTheme="minorHAnsi" w:cstheme="minorHAnsi"/>
                <w:color w:val="FF0000"/>
                <w:highlight w:val="yellow"/>
              </w:rPr>
            </w:pPr>
            <w:r>
              <w:rPr>
                <w:color w:val="000000"/>
                <w:szCs w:val="22"/>
              </w:rPr>
              <w:t>1,72%</w:t>
            </w:r>
          </w:p>
        </w:tc>
      </w:tr>
      <w:tr w:rsidR="001F6176" w:rsidRPr="00C50091" w14:paraId="734DB2DE" w14:textId="77777777" w:rsidTr="00717D7C">
        <w:tc>
          <w:tcPr>
            <w:tcW w:w="4365" w:type="dxa"/>
            <w:vMerge/>
          </w:tcPr>
          <w:p w14:paraId="1A4F3314" w14:textId="77777777" w:rsidR="001F6176" w:rsidRPr="003B455E" w:rsidRDefault="001F6176" w:rsidP="001F6176">
            <w:pPr>
              <w:rPr>
                <w:rFonts w:cstheme="minorHAnsi"/>
              </w:rPr>
            </w:pPr>
          </w:p>
        </w:tc>
        <w:tc>
          <w:tcPr>
            <w:tcW w:w="1380" w:type="dxa"/>
            <w:vAlign w:val="bottom"/>
          </w:tcPr>
          <w:p w14:paraId="6B673F49"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568C219" w:rsidR="001F6176" w:rsidRPr="003B455E" w:rsidRDefault="001F6176" w:rsidP="001F6176">
            <w:pPr>
              <w:pStyle w:val="ConsPlusNormal"/>
              <w:rPr>
                <w:rFonts w:asciiTheme="minorHAnsi" w:hAnsiTheme="minorHAnsi" w:cstheme="minorHAnsi"/>
              </w:rPr>
            </w:pPr>
            <w:r>
              <w:rPr>
                <w:color w:val="000000"/>
                <w:szCs w:val="22"/>
              </w:rPr>
              <w:t>9,27%</w:t>
            </w:r>
          </w:p>
        </w:tc>
        <w:tc>
          <w:tcPr>
            <w:tcW w:w="1846" w:type="dxa"/>
            <w:vAlign w:val="bottom"/>
          </w:tcPr>
          <w:p w14:paraId="0A9EC4F7" w14:textId="6D4C7570" w:rsidR="001F6176" w:rsidRPr="00184101" w:rsidRDefault="001F6176" w:rsidP="001F6176">
            <w:pPr>
              <w:pStyle w:val="ConsPlusNormal"/>
              <w:rPr>
                <w:rFonts w:asciiTheme="minorHAnsi" w:hAnsiTheme="minorHAnsi" w:cstheme="minorHAnsi"/>
                <w:color w:val="FF0000"/>
                <w:highlight w:val="yellow"/>
              </w:rPr>
            </w:pPr>
            <w:r>
              <w:rPr>
                <w:color w:val="000000"/>
                <w:szCs w:val="22"/>
              </w:rPr>
              <w:t>7,18%</w:t>
            </w:r>
          </w:p>
        </w:tc>
      </w:tr>
      <w:tr w:rsidR="001F6176" w:rsidRPr="00C50091" w14:paraId="2D189623" w14:textId="77777777" w:rsidTr="00717D7C">
        <w:tc>
          <w:tcPr>
            <w:tcW w:w="4365" w:type="dxa"/>
            <w:vMerge/>
          </w:tcPr>
          <w:p w14:paraId="06D3E770" w14:textId="77777777" w:rsidR="001F6176" w:rsidRPr="003B455E" w:rsidRDefault="001F6176" w:rsidP="001F6176">
            <w:pPr>
              <w:rPr>
                <w:rFonts w:cstheme="minorHAnsi"/>
              </w:rPr>
            </w:pPr>
          </w:p>
        </w:tc>
        <w:tc>
          <w:tcPr>
            <w:tcW w:w="1380" w:type="dxa"/>
            <w:vAlign w:val="bottom"/>
          </w:tcPr>
          <w:p w14:paraId="0A625FAD"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EB151D6" w:rsidR="001F6176" w:rsidRPr="003B455E" w:rsidRDefault="001F6176" w:rsidP="001F6176">
            <w:pPr>
              <w:pStyle w:val="ConsPlusNormal"/>
              <w:rPr>
                <w:rFonts w:asciiTheme="minorHAnsi" w:hAnsiTheme="minorHAnsi" w:cstheme="minorHAnsi"/>
              </w:rPr>
            </w:pPr>
            <w:r>
              <w:rPr>
                <w:color w:val="000000"/>
                <w:szCs w:val="22"/>
              </w:rPr>
              <w:t>15,87%</w:t>
            </w:r>
          </w:p>
        </w:tc>
        <w:tc>
          <w:tcPr>
            <w:tcW w:w="1846" w:type="dxa"/>
            <w:vAlign w:val="bottom"/>
          </w:tcPr>
          <w:p w14:paraId="5A1631C8" w14:textId="6EA0C701" w:rsidR="001F6176" w:rsidRPr="00184101" w:rsidRDefault="001F6176" w:rsidP="001F6176">
            <w:pPr>
              <w:pStyle w:val="ConsPlusNormal"/>
              <w:rPr>
                <w:rFonts w:asciiTheme="minorHAnsi" w:hAnsiTheme="minorHAnsi" w:cstheme="minorHAnsi"/>
                <w:color w:val="FF0000"/>
                <w:highlight w:val="yellow"/>
              </w:rPr>
            </w:pPr>
            <w:r>
              <w:rPr>
                <w:color w:val="000000"/>
                <w:szCs w:val="22"/>
              </w:rPr>
              <w:t>13,16%</w:t>
            </w:r>
          </w:p>
        </w:tc>
      </w:tr>
      <w:tr w:rsidR="001F6176" w:rsidRPr="00C50091" w14:paraId="00022598" w14:textId="77777777" w:rsidTr="00717D7C">
        <w:tc>
          <w:tcPr>
            <w:tcW w:w="4365" w:type="dxa"/>
            <w:vMerge/>
          </w:tcPr>
          <w:p w14:paraId="23447C1B" w14:textId="77777777" w:rsidR="001F6176" w:rsidRPr="003B455E" w:rsidRDefault="001F6176" w:rsidP="001F6176">
            <w:pPr>
              <w:rPr>
                <w:rFonts w:cstheme="minorHAnsi"/>
              </w:rPr>
            </w:pPr>
          </w:p>
        </w:tc>
        <w:tc>
          <w:tcPr>
            <w:tcW w:w="1380" w:type="dxa"/>
            <w:vAlign w:val="bottom"/>
          </w:tcPr>
          <w:p w14:paraId="1559E4EA"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148D843" w:rsidR="001F6176" w:rsidRPr="003B455E" w:rsidRDefault="001F6176" w:rsidP="001F6176">
            <w:pPr>
              <w:pStyle w:val="ConsPlusNormal"/>
              <w:rPr>
                <w:rFonts w:asciiTheme="minorHAnsi" w:hAnsiTheme="minorHAnsi" w:cstheme="minorHAnsi"/>
              </w:rPr>
            </w:pPr>
            <w:r>
              <w:rPr>
                <w:color w:val="000000"/>
                <w:szCs w:val="22"/>
              </w:rPr>
              <w:t>32,86%</w:t>
            </w:r>
          </w:p>
        </w:tc>
        <w:tc>
          <w:tcPr>
            <w:tcW w:w="1846" w:type="dxa"/>
            <w:vAlign w:val="bottom"/>
          </w:tcPr>
          <w:p w14:paraId="4EF284CC" w14:textId="68E00E6D" w:rsidR="001F6176" w:rsidRPr="00184101" w:rsidRDefault="001F6176" w:rsidP="001F6176">
            <w:pPr>
              <w:pStyle w:val="ConsPlusNormal"/>
              <w:rPr>
                <w:rFonts w:asciiTheme="minorHAnsi" w:hAnsiTheme="minorHAnsi" w:cstheme="minorHAnsi"/>
                <w:color w:val="FF0000"/>
                <w:highlight w:val="yellow"/>
              </w:rPr>
            </w:pPr>
            <w:r>
              <w:rPr>
                <w:color w:val="000000"/>
                <w:szCs w:val="22"/>
              </w:rPr>
              <w:t>21,89%</w:t>
            </w:r>
          </w:p>
        </w:tc>
      </w:tr>
      <w:tr w:rsidR="001F6176" w:rsidRPr="00C50091" w14:paraId="61586E32" w14:textId="77777777" w:rsidTr="00717D7C">
        <w:tc>
          <w:tcPr>
            <w:tcW w:w="4365" w:type="dxa"/>
            <w:vMerge/>
          </w:tcPr>
          <w:p w14:paraId="6D68E732" w14:textId="77777777" w:rsidR="001F6176" w:rsidRPr="003B455E" w:rsidRDefault="001F6176" w:rsidP="001F6176">
            <w:pPr>
              <w:rPr>
                <w:rFonts w:cstheme="minorHAnsi"/>
              </w:rPr>
            </w:pPr>
          </w:p>
        </w:tc>
        <w:tc>
          <w:tcPr>
            <w:tcW w:w="1380" w:type="dxa"/>
            <w:vAlign w:val="bottom"/>
          </w:tcPr>
          <w:p w14:paraId="6C7A6518"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185C2DC" w:rsidR="001F6176" w:rsidRPr="003B455E" w:rsidRDefault="001F6176" w:rsidP="001F6176">
            <w:pPr>
              <w:pStyle w:val="ConsPlusNormal"/>
              <w:rPr>
                <w:rFonts w:asciiTheme="minorHAnsi" w:hAnsiTheme="minorHAnsi" w:cstheme="minorHAnsi"/>
              </w:rPr>
            </w:pPr>
            <w:r>
              <w:rPr>
                <w:color w:val="000000"/>
                <w:szCs w:val="22"/>
              </w:rPr>
              <w:t>78,58%</w:t>
            </w:r>
          </w:p>
        </w:tc>
        <w:tc>
          <w:tcPr>
            <w:tcW w:w="1846" w:type="dxa"/>
            <w:vAlign w:val="bottom"/>
          </w:tcPr>
          <w:p w14:paraId="4946C1EE" w14:textId="00CFAA63" w:rsidR="001F6176" w:rsidRPr="00184101" w:rsidRDefault="001F6176" w:rsidP="001F6176">
            <w:pPr>
              <w:pStyle w:val="ConsPlusNormal"/>
              <w:rPr>
                <w:rFonts w:asciiTheme="minorHAnsi" w:hAnsiTheme="minorHAnsi" w:cstheme="minorHAnsi"/>
                <w:color w:val="FF0000"/>
                <w:highlight w:val="yellow"/>
              </w:rPr>
            </w:pPr>
            <w:r>
              <w:rPr>
                <w:color w:val="000000"/>
                <w:szCs w:val="22"/>
              </w:rPr>
              <w:t>50,58%</w:t>
            </w:r>
          </w:p>
        </w:tc>
      </w:tr>
      <w:tr w:rsidR="001F6176" w:rsidRPr="00C50091" w14:paraId="23E49679" w14:textId="77777777" w:rsidTr="00311FAE">
        <w:tc>
          <w:tcPr>
            <w:tcW w:w="4365" w:type="dxa"/>
            <w:vMerge/>
          </w:tcPr>
          <w:p w14:paraId="18885D97" w14:textId="77777777" w:rsidR="001F6176" w:rsidRPr="003B455E" w:rsidRDefault="001F6176" w:rsidP="001F6176">
            <w:pPr>
              <w:pStyle w:val="ConsPlusNormal"/>
              <w:rPr>
                <w:rFonts w:asciiTheme="minorHAnsi" w:hAnsiTheme="minorHAnsi" w:cstheme="minorHAnsi"/>
              </w:rPr>
            </w:pPr>
          </w:p>
        </w:tc>
        <w:tc>
          <w:tcPr>
            <w:tcW w:w="1380" w:type="dxa"/>
            <w:vAlign w:val="bottom"/>
          </w:tcPr>
          <w:p w14:paraId="427B3323" w14:textId="77777777" w:rsidR="001F6176" w:rsidRPr="003B455E" w:rsidRDefault="001F6176" w:rsidP="001F6176">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A840D73" w:rsidR="001F6176" w:rsidRPr="003B455E" w:rsidRDefault="001F6176" w:rsidP="001F6176">
            <w:pPr>
              <w:pStyle w:val="ConsPlusNormal"/>
              <w:rPr>
                <w:rFonts w:asciiTheme="minorHAnsi" w:hAnsiTheme="minorHAnsi" w:cstheme="minorHAnsi"/>
              </w:rPr>
            </w:pPr>
            <w:r>
              <w:rPr>
                <w:color w:val="000000"/>
                <w:szCs w:val="22"/>
              </w:rPr>
              <w:t>126,55%</w:t>
            </w:r>
          </w:p>
        </w:tc>
        <w:tc>
          <w:tcPr>
            <w:tcW w:w="1846" w:type="dxa"/>
            <w:vAlign w:val="bottom"/>
          </w:tcPr>
          <w:p w14:paraId="529BB3CB" w14:textId="51B2DA5D" w:rsidR="001F6176" w:rsidRPr="00184101" w:rsidRDefault="001F6176" w:rsidP="001F6176">
            <w:pPr>
              <w:pStyle w:val="ConsPlusNormal"/>
              <w:rPr>
                <w:rFonts w:asciiTheme="minorHAnsi" w:hAnsiTheme="minorHAnsi" w:cstheme="minorHAnsi"/>
                <w:highlight w:val="yellow"/>
              </w:rPr>
            </w:pPr>
            <w:r>
              <w:rPr>
                <w:color w:val="000000"/>
                <w:szCs w:val="22"/>
              </w:rPr>
              <w:t>88,73%</w:t>
            </w:r>
          </w:p>
        </w:tc>
      </w:tr>
    </w:tbl>
    <w:p w14:paraId="136D627F" w14:textId="77777777" w:rsidR="004F6824" w:rsidRPr="00C50091" w:rsidRDefault="004F6824" w:rsidP="007E2A89">
      <w:pPr>
        <w:pStyle w:val="a3"/>
        <w:spacing w:line="276" w:lineRule="auto"/>
        <w:rPr>
          <w:rFonts w:cstheme="minorHAnsi"/>
        </w:rPr>
      </w:pPr>
    </w:p>
    <w:p w14:paraId="66686100" w14:textId="4ED11227" w:rsidR="007A0DCF" w:rsidRPr="00C50091" w:rsidRDefault="007E4067" w:rsidP="001F617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F6176" w:rsidRPr="001F6176">
        <w:rPr>
          <w:rFonts w:cstheme="minorHAnsi"/>
        </w:rPr>
        <w:t>1</w:t>
      </w:r>
      <w:r w:rsidR="001F6176">
        <w:rPr>
          <w:rFonts w:cstheme="minorHAnsi"/>
        </w:rPr>
        <w:t xml:space="preserve"> </w:t>
      </w:r>
      <w:r w:rsidR="001F6176" w:rsidRPr="001F6176">
        <w:rPr>
          <w:rFonts w:cstheme="minorHAnsi"/>
        </w:rPr>
        <w:t>022,19</w:t>
      </w:r>
      <w:r w:rsidR="004F1F86">
        <w:rPr>
          <w:rFonts w:cstheme="minorHAnsi"/>
        </w:rPr>
        <w:t xml:space="preserve"> </w:t>
      </w:r>
      <w:r w:rsidRPr="00C50091">
        <w:rPr>
          <w:rFonts w:cstheme="minorHAnsi"/>
        </w:rPr>
        <w:t>рублей.</w:t>
      </w:r>
    </w:p>
    <w:p w14:paraId="59CB4D01" w14:textId="2236FA0E" w:rsidR="007F4701" w:rsidRPr="007F4701" w:rsidRDefault="007A0DCF" w:rsidP="001F617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1F6176" w:rsidRPr="001F6176">
        <w:rPr>
          <w:rFonts w:cstheme="minorHAnsi"/>
        </w:rPr>
        <w:t>133</w:t>
      </w:r>
      <w:r w:rsidR="001F6176">
        <w:rPr>
          <w:rFonts w:cstheme="minorHAnsi"/>
        </w:rPr>
        <w:t> </w:t>
      </w:r>
      <w:r w:rsidR="001F6176" w:rsidRPr="001F6176">
        <w:rPr>
          <w:rFonts w:cstheme="minorHAnsi"/>
        </w:rPr>
        <w:t>010</w:t>
      </w:r>
      <w:r w:rsidR="001F6176">
        <w:rPr>
          <w:rFonts w:cstheme="minorHAnsi"/>
        </w:rPr>
        <w:t xml:space="preserve"> </w:t>
      </w:r>
      <w:bookmarkStart w:id="0" w:name="_GoBack"/>
      <w:bookmarkEnd w:id="0"/>
      <w:r w:rsidR="001F6176" w:rsidRPr="001F6176">
        <w:rPr>
          <w:rFonts w:cstheme="minorHAnsi"/>
        </w:rPr>
        <w:t>877,79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5F80"/>
    <w:rsid w:val="008646AE"/>
    <w:rsid w:val="00876ABD"/>
    <w:rsid w:val="00892B09"/>
    <w:rsid w:val="008D071C"/>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CF4FA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2021-10-05T09:48:00Z</dcterms:created>
  <dcterms:modified xsi:type="dcterms:W3CDTF">2023-04-06T13:38:00Z</dcterms:modified>
</cp:coreProperties>
</file>