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796DA0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637FA">
        <w:rPr>
          <w:rFonts w:cstheme="minorHAnsi"/>
        </w:rPr>
        <w:t>28</w:t>
      </w:r>
      <w:r w:rsidR="00986649" w:rsidRPr="0021055B">
        <w:rPr>
          <w:rFonts w:cstheme="minorHAnsi"/>
        </w:rPr>
        <w:t>.</w:t>
      </w:r>
      <w:r w:rsidR="00C440C9">
        <w:rPr>
          <w:rFonts w:cstheme="minorHAnsi"/>
        </w:rPr>
        <w:t>0</w:t>
      </w:r>
      <w:r w:rsidR="006637FA">
        <w:rPr>
          <w:rFonts w:cstheme="minorHAnsi"/>
        </w:rPr>
        <w:t>4</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AD0B7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C440C9">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824317A" w:rsidR="002E02FF" w:rsidRPr="00816C0E" w:rsidRDefault="008B6487" w:rsidP="00F71D04">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F71D04">
              <w:rPr>
                <w:rFonts w:cstheme="minorHAnsi"/>
              </w:rPr>
              <w:t>9</w:t>
            </w:r>
            <w:r w:rsidR="0066623E">
              <w:rPr>
                <w:rFonts w:cstheme="minorHAnsi"/>
              </w:rPr>
              <w:t>3</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F595154" w:rsidR="00DB0B0C" w:rsidRDefault="00DB0B0C" w:rsidP="00F71D04">
            <w:pPr>
              <w:spacing w:line="276" w:lineRule="auto"/>
              <w:jc w:val="center"/>
              <w:rPr>
                <w:rFonts w:cstheme="minorHAnsi"/>
              </w:rPr>
            </w:pPr>
            <w:r>
              <w:rPr>
                <w:rFonts w:cstheme="minorHAnsi"/>
              </w:rPr>
              <w:t>1,</w:t>
            </w:r>
            <w:r w:rsidR="0066623E">
              <w:rPr>
                <w:rFonts w:cstheme="minorHAnsi"/>
              </w:rPr>
              <w:t>9</w:t>
            </w:r>
            <w:r w:rsidR="00F71D04">
              <w:rPr>
                <w:rFonts w:cstheme="minorHAnsi"/>
              </w:rPr>
              <w:t>0</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477567F6" w:rsidR="00896BA6" w:rsidRDefault="00917972" w:rsidP="00F71D04">
            <w:pPr>
              <w:spacing w:line="276" w:lineRule="auto"/>
              <w:jc w:val="center"/>
              <w:rPr>
                <w:rFonts w:cstheme="minorHAnsi"/>
              </w:rPr>
            </w:pPr>
            <w:r>
              <w:rPr>
                <w:rFonts w:cstheme="minorHAnsi"/>
              </w:rPr>
              <w:t>0</w:t>
            </w:r>
            <w:r w:rsidR="00896BA6">
              <w:rPr>
                <w:rFonts w:cstheme="minorHAnsi"/>
              </w:rPr>
              <w:t>,</w:t>
            </w:r>
            <w:r w:rsidR="00F71D04">
              <w:rPr>
                <w:rFonts w:cstheme="minorHAnsi"/>
              </w:rPr>
              <w:t>59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555C11AD" w:rsidR="002E02FF" w:rsidRPr="00816C0E" w:rsidRDefault="00CA2D21" w:rsidP="00F71D04">
            <w:pPr>
              <w:jc w:val="center"/>
              <w:rPr>
                <w:rFonts w:cstheme="minorHAnsi"/>
              </w:rPr>
            </w:pPr>
            <w:r>
              <w:rPr>
                <w:rFonts w:cstheme="minorHAnsi"/>
              </w:rPr>
              <w:t>0</w:t>
            </w:r>
            <w:r w:rsidR="00C60EF2" w:rsidRPr="00816C0E">
              <w:rPr>
                <w:rFonts w:cstheme="minorHAnsi"/>
              </w:rPr>
              <w:t>,</w:t>
            </w:r>
            <w:r w:rsidR="00F71D04">
              <w:rPr>
                <w:rFonts w:cstheme="minorHAnsi"/>
              </w:rPr>
              <w:t>76</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53B4EA9C" w:rsidR="008B6487" w:rsidRDefault="00F71D04" w:rsidP="00F71D04">
            <w:pPr>
              <w:jc w:val="center"/>
              <w:rPr>
                <w:rFonts w:cstheme="minorHAnsi"/>
              </w:rPr>
            </w:pPr>
            <w:r>
              <w:rPr>
                <w:rFonts w:cstheme="minorHAnsi"/>
              </w:rPr>
              <w:t>0</w:t>
            </w:r>
            <w:r w:rsidR="008B6487">
              <w:rPr>
                <w:rFonts w:cstheme="minorHAnsi"/>
              </w:rPr>
              <w:t>,</w:t>
            </w:r>
            <w:r>
              <w:rPr>
                <w:rFonts w:cstheme="minorHAnsi"/>
              </w:rPr>
              <w:t>5</w:t>
            </w:r>
            <w:r w:rsidR="0066623E">
              <w:rPr>
                <w:rFonts w:cstheme="minorHAnsi"/>
              </w:rPr>
              <w:t>9</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741FFAF6" w:rsidR="00D12D52" w:rsidRPr="003B455E" w:rsidRDefault="00C440C9" w:rsidP="006637FA">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637FA">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F71D04" w:rsidRPr="00C50091" w14:paraId="163F6D42" w14:textId="77777777" w:rsidTr="006F70F7">
        <w:tc>
          <w:tcPr>
            <w:tcW w:w="4365" w:type="dxa"/>
            <w:vMerge/>
          </w:tcPr>
          <w:p w14:paraId="439EA073" w14:textId="77777777" w:rsidR="00F71D04" w:rsidRPr="003B455E" w:rsidRDefault="00F71D04" w:rsidP="00F71D04">
            <w:pPr>
              <w:rPr>
                <w:rFonts w:cstheme="minorHAnsi"/>
              </w:rPr>
            </w:pPr>
          </w:p>
        </w:tc>
        <w:tc>
          <w:tcPr>
            <w:tcW w:w="1380" w:type="dxa"/>
            <w:vAlign w:val="bottom"/>
          </w:tcPr>
          <w:p w14:paraId="377E34DE" w14:textId="77777777" w:rsidR="00F71D04" w:rsidRPr="003B455E" w:rsidRDefault="00F71D04" w:rsidP="00F71D0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DB84F1A" w:rsidR="00F71D04" w:rsidRPr="003B455E" w:rsidRDefault="00F71D04" w:rsidP="00F71D04">
            <w:pPr>
              <w:pStyle w:val="ConsPlusNormal"/>
              <w:rPr>
                <w:rFonts w:asciiTheme="minorHAnsi" w:hAnsiTheme="minorHAnsi" w:cstheme="minorHAnsi"/>
              </w:rPr>
            </w:pPr>
            <w:r>
              <w:rPr>
                <w:color w:val="000000"/>
                <w:szCs w:val="22"/>
              </w:rPr>
              <w:t>0,97%</w:t>
            </w:r>
          </w:p>
        </w:tc>
        <w:tc>
          <w:tcPr>
            <w:tcW w:w="1705" w:type="dxa"/>
            <w:vAlign w:val="bottom"/>
          </w:tcPr>
          <w:p w14:paraId="5DA42905" w14:textId="38A35F97" w:rsidR="00F71D04" w:rsidRPr="00C5506D" w:rsidRDefault="00F71D04" w:rsidP="00F71D04">
            <w:pPr>
              <w:pStyle w:val="ConsPlusNormal"/>
              <w:rPr>
                <w:rFonts w:asciiTheme="minorHAnsi" w:hAnsiTheme="minorHAnsi" w:cstheme="minorHAnsi"/>
                <w:highlight w:val="yellow"/>
                <w:lang w:val="en-US"/>
              </w:rPr>
            </w:pPr>
            <w:r>
              <w:rPr>
                <w:color w:val="000000"/>
                <w:szCs w:val="22"/>
              </w:rPr>
              <w:t>0,60%</w:t>
            </w:r>
          </w:p>
        </w:tc>
      </w:tr>
      <w:tr w:rsidR="00F71D04" w:rsidRPr="00C50091" w14:paraId="734DB2DE" w14:textId="77777777" w:rsidTr="006F70F7">
        <w:tc>
          <w:tcPr>
            <w:tcW w:w="4365" w:type="dxa"/>
            <w:vMerge/>
          </w:tcPr>
          <w:p w14:paraId="1A4F3314" w14:textId="77777777" w:rsidR="00F71D04" w:rsidRPr="003B455E" w:rsidRDefault="00F71D04" w:rsidP="00F71D04">
            <w:pPr>
              <w:rPr>
                <w:rFonts w:cstheme="minorHAnsi"/>
              </w:rPr>
            </w:pPr>
          </w:p>
        </w:tc>
        <w:tc>
          <w:tcPr>
            <w:tcW w:w="1380" w:type="dxa"/>
            <w:vAlign w:val="bottom"/>
          </w:tcPr>
          <w:p w14:paraId="6B673F49" w14:textId="77777777" w:rsidR="00F71D04" w:rsidRPr="003B455E" w:rsidRDefault="00F71D04" w:rsidP="00F71D0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A9AD220" w:rsidR="00F71D04" w:rsidRPr="003B455E" w:rsidRDefault="00F71D04" w:rsidP="00F71D04">
            <w:pPr>
              <w:pStyle w:val="ConsPlusNormal"/>
              <w:rPr>
                <w:rFonts w:asciiTheme="minorHAnsi" w:hAnsiTheme="minorHAnsi" w:cstheme="minorHAnsi"/>
              </w:rPr>
            </w:pPr>
            <w:r>
              <w:rPr>
                <w:color w:val="000000"/>
                <w:szCs w:val="22"/>
              </w:rPr>
              <w:t>8,22%</w:t>
            </w:r>
          </w:p>
        </w:tc>
        <w:tc>
          <w:tcPr>
            <w:tcW w:w="1705" w:type="dxa"/>
            <w:vAlign w:val="bottom"/>
          </w:tcPr>
          <w:p w14:paraId="0A9EC4F7" w14:textId="3324B51A" w:rsidR="00F71D04" w:rsidRPr="00C5506D" w:rsidRDefault="00F71D04" w:rsidP="00F71D04">
            <w:pPr>
              <w:pStyle w:val="ConsPlusNormal"/>
              <w:rPr>
                <w:rFonts w:asciiTheme="minorHAnsi" w:hAnsiTheme="minorHAnsi" w:cstheme="minorHAnsi"/>
                <w:highlight w:val="yellow"/>
              </w:rPr>
            </w:pPr>
            <w:r>
              <w:rPr>
                <w:color w:val="000000"/>
                <w:szCs w:val="22"/>
              </w:rPr>
              <w:t>6,54%</w:t>
            </w:r>
          </w:p>
        </w:tc>
      </w:tr>
      <w:tr w:rsidR="00F71D04" w:rsidRPr="00C50091" w14:paraId="2D189623" w14:textId="77777777" w:rsidTr="006F70F7">
        <w:tc>
          <w:tcPr>
            <w:tcW w:w="4365" w:type="dxa"/>
            <w:vMerge/>
          </w:tcPr>
          <w:p w14:paraId="06D3E770" w14:textId="77777777" w:rsidR="00F71D04" w:rsidRPr="003B455E" w:rsidRDefault="00F71D04" w:rsidP="00F71D04">
            <w:pPr>
              <w:rPr>
                <w:rFonts w:cstheme="minorHAnsi"/>
              </w:rPr>
            </w:pPr>
          </w:p>
        </w:tc>
        <w:tc>
          <w:tcPr>
            <w:tcW w:w="1380" w:type="dxa"/>
            <w:vAlign w:val="bottom"/>
          </w:tcPr>
          <w:p w14:paraId="0A625FAD" w14:textId="77777777" w:rsidR="00F71D04" w:rsidRPr="003B455E" w:rsidRDefault="00F71D04" w:rsidP="00F71D0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C372A11" w:rsidR="00F71D04" w:rsidRPr="003B455E" w:rsidRDefault="00F71D04" w:rsidP="00F71D04">
            <w:pPr>
              <w:pStyle w:val="ConsPlusNormal"/>
              <w:rPr>
                <w:rFonts w:asciiTheme="minorHAnsi" w:hAnsiTheme="minorHAnsi" w:cstheme="minorHAnsi"/>
              </w:rPr>
            </w:pPr>
            <w:r>
              <w:rPr>
                <w:color w:val="000000"/>
                <w:szCs w:val="22"/>
              </w:rPr>
              <w:t>11,20%</w:t>
            </w:r>
          </w:p>
        </w:tc>
        <w:tc>
          <w:tcPr>
            <w:tcW w:w="1705" w:type="dxa"/>
            <w:vAlign w:val="bottom"/>
          </w:tcPr>
          <w:p w14:paraId="5A1631C8" w14:textId="38144C8A" w:rsidR="00F71D04" w:rsidRPr="00C5506D" w:rsidRDefault="00F71D04" w:rsidP="00F71D04">
            <w:pPr>
              <w:pStyle w:val="ConsPlusNormal"/>
              <w:rPr>
                <w:rFonts w:asciiTheme="minorHAnsi" w:hAnsiTheme="minorHAnsi" w:cstheme="minorHAnsi"/>
                <w:highlight w:val="yellow"/>
              </w:rPr>
            </w:pPr>
            <w:r>
              <w:rPr>
                <w:color w:val="000000"/>
                <w:szCs w:val="22"/>
              </w:rPr>
              <w:t>8,16%</w:t>
            </w:r>
          </w:p>
        </w:tc>
      </w:tr>
      <w:tr w:rsidR="00F71D04" w:rsidRPr="00C50091" w14:paraId="00022598" w14:textId="77777777" w:rsidTr="006F70F7">
        <w:tc>
          <w:tcPr>
            <w:tcW w:w="4365" w:type="dxa"/>
            <w:vMerge/>
          </w:tcPr>
          <w:p w14:paraId="23447C1B" w14:textId="77777777" w:rsidR="00F71D04" w:rsidRPr="003B455E" w:rsidRDefault="00F71D04" w:rsidP="00F71D04">
            <w:pPr>
              <w:rPr>
                <w:rFonts w:cstheme="minorHAnsi"/>
              </w:rPr>
            </w:pPr>
          </w:p>
        </w:tc>
        <w:tc>
          <w:tcPr>
            <w:tcW w:w="1380" w:type="dxa"/>
            <w:vAlign w:val="bottom"/>
          </w:tcPr>
          <w:p w14:paraId="1559E4EA" w14:textId="77777777" w:rsidR="00F71D04" w:rsidRPr="003B455E" w:rsidRDefault="00F71D04" w:rsidP="00F71D0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27FB794" w:rsidR="00F71D04" w:rsidRPr="003B455E" w:rsidRDefault="00F71D04" w:rsidP="00F71D04">
            <w:pPr>
              <w:pStyle w:val="ConsPlusNormal"/>
              <w:rPr>
                <w:rFonts w:asciiTheme="minorHAnsi" w:hAnsiTheme="minorHAnsi" w:cstheme="minorHAnsi"/>
              </w:rPr>
            </w:pPr>
            <w:r>
              <w:rPr>
                <w:color w:val="000000"/>
                <w:szCs w:val="22"/>
              </w:rPr>
              <w:t>18,09%</w:t>
            </w:r>
          </w:p>
        </w:tc>
        <w:tc>
          <w:tcPr>
            <w:tcW w:w="1705" w:type="dxa"/>
            <w:vAlign w:val="bottom"/>
          </w:tcPr>
          <w:p w14:paraId="4EF284CC" w14:textId="260EB4CE" w:rsidR="00F71D04" w:rsidRPr="00C5506D" w:rsidRDefault="00F71D04" w:rsidP="00F71D04">
            <w:pPr>
              <w:pStyle w:val="ConsPlusNormal"/>
              <w:rPr>
                <w:rFonts w:asciiTheme="minorHAnsi" w:hAnsiTheme="minorHAnsi" w:cstheme="minorHAnsi"/>
                <w:highlight w:val="yellow"/>
              </w:rPr>
            </w:pPr>
            <w:r>
              <w:rPr>
                <w:color w:val="000000"/>
                <w:szCs w:val="22"/>
              </w:rPr>
              <w:t>14,58%</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1AB91A62" w:rsidR="007A0DCF" w:rsidRPr="00C50091" w:rsidRDefault="007E4067" w:rsidP="00F71D0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71D04" w:rsidRPr="00F71D04">
        <w:rPr>
          <w:rFonts w:cstheme="minorHAnsi"/>
        </w:rPr>
        <w:t>260</w:t>
      </w:r>
      <w:r w:rsidR="00F71D04">
        <w:rPr>
          <w:rFonts w:cstheme="minorHAnsi"/>
        </w:rPr>
        <w:t xml:space="preserve"> </w:t>
      </w:r>
      <w:r w:rsidR="00F71D04" w:rsidRPr="00F71D04">
        <w:rPr>
          <w:rFonts w:cstheme="minorHAnsi"/>
        </w:rPr>
        <w:t>928,21</w:t>
      </w:r>
      <w:r w:rsidR="00F71D04">
        <w:rPr>
          <w:rFonts w:cstheme="minorHAnsi"/>
        </w:rPr>
        <w:t xml:space="preserve"> </w:t>
      </w:r>
      <w:r w:rsidRPr="00C50091">
        <w:rPr>
          <w:rFonts w:cstheme="minorHAnsi"/>
        </w:rPr>
        <w:t>рублей.</w:t>
      </w:r>
    </w:p>
    <w:p w14:paraId="2FE68D87" w14:textId="465FB8F8" w:rsidR="007A0DCF" w:rsidRPr="00C50091" w:rsidRDefault="007A0DCF" w:rsidP="00F71D0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71D04" w:rsidRPr="00F71D04">
        <w:rPr>
          <w:rFonts w:cstheme="minorHAnsi"/>
        </w:rPr>
        <w:t>334</w:t>
      </w:r>
      <w:r w:rsidR="00F71D04">
        <w:rPr>
          <w:rFonts w:cstheme="minorHAnsi"/>
        </w:rPr>
        <w:t> </w:t>
      </w:r>
      <w:r w:rsidR="00F71D04" w:rsidRPr="00F71D04">
        <w:rPr>
          <w:rFonts w:cstheme="minorHAnsi"/>
        </w:rPr>
        <w:t>770</w:t>
      </w:r>
      <w:r w:rsidR="00F71D04">
        <w:rPr>
          <w:rFonts w:cstheme="minorHAnsi"/>
        </w:rPr>
        <w:t xml:space="preserve"> </w:t>
      </w:r>
      <w:bookmarkStart w:id="0" w:name="_GoBack"/>
      <w:bookmarkEnd w:id="0"/>
      <w:r w:rsidR="00F71D04" w:rsidRPr="00F71D04">
        <w:rPr>
          <w:rFonts w:cstheme="minorHAnsi"/>
        </w:rPr>
        <w:t>888,64</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D7B7C"/>
    <w:rsid w:val="005E2EAC"/>
    <w:rsid w:val="006637FA"/>
    <w:rsid w:val="0066623E"/>
    <w:rsid w:val="006961D3"/>
    <w:rsid w:val="00701135"/>
    <w:rsid w:val="007622D8"/>
    <w:rsid w:val="0077696C"/>
    <w:rsid w:val="00785A61"/>
    <w:rsid w:val="007A0DCF"/>
    <w:rsid w:val="007E1692"/>
    <w:rsid w:val="007E4067"/>
    <w:rsid w:val="00813496"/>
    <w:rsid w:val="00816C0E"/>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40C9"/>
    <w:rsid w:val="00C45B63"/>
    <w:rsid w:val="00C50091"/>
    <w:rsid w:val="00C5506D"/>
    <w:rsid w:val="00C60EF2"/>
    <w:rsid w:val="00C75DF9"/>
    <w:rsid w:val="00CA2D21"/>
    <w:rsid w:val="00D12D52"/>
    <w:rsid w:val="00D72247"/>
    <w:rsid w:val="00DA0098"/>
    <w:rsid w:val="00DB0B0C"/>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EFF0-CD40-48E1-9381-8B6E01B5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2021-10-07T10:00:00Z</dcterms:created>
  <dcterms:modified xsi:type="dcterms:W3CDTF">2023-05-11T11:40:00Z</dcterms:modified>
</cp:coreProperties>
</file>