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04105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r w:rsidRPr="004F5F7B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>* Индекс S&amp;P 500® является продуктом S&amp;P Dow Jones Indices LLC или её аффилированных лиц и Стороннего лицензиара и был предоставлен по лицензии для использования управляющей компанией. Standard &amp; Poor's® и S&amp;P® являются зарегистрированными товарными знаками Standard &amp; Poor's Financial Services LLC («S&amp;P»), а Dow Jones® является зарегистрированным товарным знаком Dow Jones Trademark Holdings LLC («Dow Jones»).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70AC"/>
    <w:rsid w:val="004074F3"/>
    <w:rsid w:val="004367BC"/>
    <w:rsid w:val="004F5F7B"/>
    <w:rsid w:val="00504105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C680-0F0B-49E5-8491-B59AA754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2023-03-22T13:00:00Z</dcterms:created>
  <dcterms:modified xsi:type="dcterms:W3CDTF">2023-05-03T09:08:00Z</dcterms:modified>
</cp:coreProperties>
</file>