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C61B9C">
              <w:rPr>
                <w:b/>
              </w:rPr>
              <w:t>31.05.2023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5705A3" w:rsidRPr="005705A3">
              <w:rPr>
                <w:b/>
              </w:rPr>
              <w:t>ТЕХНОЛОГИИ 100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5705A3" w:rsidP="005705A3">
                  <w:pPr>
                    <w:pStyle w:val="1"/>
                    <w:spacing w:before="0"/>
                    <w:ind w:left="357" w:hanging="357"/>
                  </w:pPr>
                  <w:r w:rsidRPr="005705A3">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A970D9">
                      <w:rPr>
                        <w:rStyle w:val="a4"/>
                        <w:sz w:val="20"/>
                        <w:szCs w:val="20"/>
                      </w:rPr>
                      <w:t>https://www.alfacapital.ru/disclosure/pifs/bpif-tech100/pif-rules</w:t>
                    </w:r>
                  </w:hyperlink>
                  <w:r>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5705A3" w:rsidRDefault="005705A3" w:rsidP="005705A3">
            <w:pPr>
              <w:pStyle w:val="1"/>
              <w:numPr>
                <w:ilvl w:val="0"/>
                <w:numId w:val="14"/>
              </w:numPr>
            </w:pPr>
            <w:r>
              <w:t>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Invesco QQQ Trust, Series 1. Основу активов составляют паи биржевых фондов и акции американских компаний.</w:t>
            </w:r>
          </w:p>
          <w:p w:rsidR="005705A3" w:rsidRDefault="005705A3" w:rsidP="005705A3">
            <w:pPr>
              <w:pStyle w:val="1"/>
              <w:numPr>
                <w:ilvl w:val="0"/>
                <w:numId w:val="14"/>
              </w:numPr>
            </w:pPr>
            <w:r>
              <w:t>Пассивное управление.</w:t>
            </w:r>
          </w:p>
          <w:p w:rsidR="00802D4A" w:rsidRPr="007B6AB8" w:rsidRDefault="005705A3" w:rsidP="005705A3">
            <w:pPr>
              <w:pStyle w:val="1"/>
              <w:numPr>
                <w:ilvl w:val="0"/>
                <w:numId w:val="14"/>
              </w:numPr>
            </w:pPr>
            <w:r>
              <w:t>Активы паевого инвестиционного фонда инвестированы в 20 объектов</w:t>
            </w:r>
            <w:r w:rsidR="00274DB4">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Invesco QQQ Trust, Series 1</w:t>
                  </w:r>
                </w:p>
              </w:tc>
              <w:tc>
                <w:tcPr>
                  <w:tcW w:w="882" w:type="pct"/>
                  <w:vAlign w:val="center"/>
                </w:tcPr>
                <w:p w:rsidR="005705A3" w:rsidRPr="006134E1" w:rsidRDefault="005705A3" w:rsidP="005705A3">
                  <w:pPr>
                    <w:jc w:val="center"/>
                  </w:pPr>
                  <w:r w:rsidRPr="006134E1">
                    <w:t>US46090E1038</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5705A3" w:rsidRDefault="005705A3" w:rsidP="005705A3">
                  <w:pPr>
                    <w:rPr>
                      <w:lang w:val="en-US"/>
                    </w:rPr>
                  </w:pPr>
                  <w:r w:rsidRPr="005705A3">
                    <w:rPr>
                      <w:lang w:val="en-US"/>
                    </w:rPr>
                    <w:t>First Trust NASDAQ-100 Equal Weighted Index Fund</w:t>
                  </w:r>
                </w:p>
              </w:tc>
              <w:tc>
                <w:tcPr>
                  <w:tcW w:w="882" w:type="pct"/>
                  <w:vAlign w:val="center"/>
                </w:tcPr>
                <w:p w:rsidR="005705A3" w:rsidRPr="006134E1" w:rsidRDefault="005705A3" w:rsidP="005705A3">
                  <w:pPr>
                    <w:jc w:val="center"/>
                  </w:pPr>
                  <w:r w:rsidRPr="006134E1">
                    <w:t>US3373441050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Alphabet Inc.</w:t>
                  </w:r>
                </w:p>
              </w:tc>
              <w:tc>
                <w:tcPr>
                  <w:tcW w:w="882" w:type="pct"/>
                  <w:vAlign w:val="center"/>
                </w:tcPr>
                <w:p w:rsidR="005705A3" w:rsidRPr="006134E1" w:rsidRDefault="005705A3" w:rsidP="005705A3">
                  <w:pPr>
                    <w:jc w:val="center"/>
                  </w:pPr>
                  <w:r w:rsidRPr="006134E1">
                    <w:t>US02079K3059</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6134E1" w:rsidRDefault="005705A3" w:rsidP="005705A3">
                  <w:r w:rsidRPr="006134E1">
                    <w:t>Акции NVIDIA Corporation</w:t>
                  </w:r>
                </w:p>
              </w:tc>
              <w:tc>
                <w:tcPr>
                  <w:tcW w:w="882" w:type="pct"/>
                  <w:vAlign w:val="center"/>
                </w:tcPr>
                <w:p w:rsidR="005705A3" w:rsidRPr="006134E1" w:rsidRDefault="005705A3" w:rsidP="005705A3">
                  <w:pPr>
                    <w:jc w:val="center"/>
                  </w:pPr>
                  <w:r w:rsidRPr="006134E1">
                    <w:t>US67066G1040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Meta Platforms, Inc.</w:t>
                  </w:r>
                </w:p>
              </w:tc>
              <w:tc>
                <w:tcPr>
                  <w:tcW w:w="882" w:type="pct"/>
                  <w:vAlign w:val="center"/>
                </w:tcPr>
                <w:p w:rsidR="005705A3" w:rsidRPr="006134E1" w:rsidRDefault="005705A3" w:rsidP="005705A3">
                  <w:pPr>
                    <w:jc w:val="center"/>
                  </w:pPr>
                  <w:r w:rsidRPr="006134E1">
                    <w:t>US30303M1027</w:t>
                  </w:r>
                </w:p>
              </w:tc>
              <w:tc>
                <w:tcPr>
                  <w:tcW w:w="1105" w:type="pct"/>
                  <w:vAlign w:val="center"/>
                </w:tcPr>
                <w:p w:rsidR="005705A3" w:rsidRDefault="005705A3" w:rsidP="005705A3">
                  <w:pPr>
                    <w:jc w:val="center"/>
                  </w:pPr>
                  <w:r w:rsidRPr="006134E1">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4"/>
              <w:gridCol w:w="1209"/>
              <w:gridCol w:w="1209"/>
              <w:gridCol w:w="1713"/>
              <w:gridCol w:w="1703"/>
            </w:tblGrid>
            <w:tr w:rsidR="00EA4D22" w:rsidRPr="00250C76" w:rsidTr="005705A3">
              <w:trPr>
                <w:cnfStyle w:val="100000000000" w:firstRow="1" w:lastRow="0" w:firstColumn="0" w:lastColumn="0" w:oddVBand="0" w:evenVBand="0" w:oddHBand="0" w:evenHBand="0" w:firstRowFirstColumn="0" w:firstRowLastColumn="0" w:lastRowFirstColumn="0" w:lastRowLastColumn="0"/>
                <w:trHeight w:val="482"/>
              </w:trPr>
              <w:tc>
                <w:tcPr>
                  <w:tcW w:w="2139" w:type="pct"/>
                </w:tcPr>
                <w:p w:rsidR="00EA4D22" w:rsidRPr="00250C76" w:rsidRDefault="00EA4D22" w:rsidP="00EA4D22">
                  <w:pPr>
                    <w:jc w:val="center"/>
                  </w:pPr>
                  <w:r w:rsidRPr="00250C76">
                    <w:t>Д</w:t>
                  </w:r>
                  <w:r>
                    <w:t>оходность за календарный год, %</w:t>
                  </w:r>
                </w:p>
              </w:tc>
              <w:tc>
                <w:tcPr>
                  <w:tcW w:w="2861"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restart"/>
                  <w:vAlign w:val="center"/>
                </w:tcPr>
                <w:p w:rsidR="00EA4D22" w:rsidRPr="00250C76" w:rsidRDefault="005705A3" w:rsidP="00EA4D22">
                  <w:pPr>
                    <w:jc w:val="center"/>
                  </w:pPr>
                  <w:r>
                    <w:rPr>
                      <w:noProof/>
                      <w:lang w:eastAsia="ru-RU"/>
                    </w:rPr>
                    <w:drawing>
                      <wp:inline distT="0" distB="0" distL="0" distR="0" wp14:anchorId="5E08681C" wp14:editId="192C1F6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6"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5705A3">
              <w:trPr>
                <w:trHeight w:val="482"/>
              </w:trPr>
              <w:tc>
                <w:tcPr>
                  <w:tcW w:w="2139"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6"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C05F59"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6" w:type="pct"/>
                  <w:vAlign w:val="center"/>
                </w:tcPr>
                <w:p w:rsidR="00C05F59" w:rsidRDefault="00C05F59" w:rsidP="00C05F59">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6"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D72B0">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7041B8">
                        <w:pPr>
                          <w:jc w:val="center"/>
                          <w:rPr>
                            <w:b/>
                          </w:rPr>
                        </w:pPr>
                        <w:r>
                          <w:rPr>
                            <w:b/>
                          </w:rPr>
                          <w:t>0.1</w:t>
                        </w:r>
                        <w:r w:rsidR="003C6249" w:rsidRPr="007041B8">
                          <w:rPr>
                            <w:b/>
                          </w:rPr>
                          <w:t>%</w:t>
                        </w:r>
                        <w:r w:rsidR="001A7B28">
                          <w:rPr>
                            <w:b/>
                          </w:rPr>
                          <w:t xml:space="preserve"> без учета НДС</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5705A3" w:rsidRDefault="005705A3" w:rsidP="005705A3">
            <w:pPr>
              <w:pStyle w:val="1"/>
              <w:numPr>
                <w:ilvl w:val="0"/>
                <w:numId w:val="19"/>
              </w:numPr>
            </w:pPr>
            <w:r>
              <w:t>Минимальная сумма денежных средств, которая может быть передана в оплату инвестиционных паев, составляет от 650 рублей. Подробные условия указаны в правилах доверительного управления паевым инвестиционным фондом.</w:t>
            </w:r>
          </w:p>
          <w:p w:rsidR="005705A3" w:rsidRDefault="005705A3" w:rsidP="005705A3">
            <w:pPr>
              <w:pStyle w:val="1"/>
              <w:numPr>
                <w:ilvl w:val="0"/>
                <w:numId w:val="19"/>
              </w:numPr>
            </w:pPr>
            <w:r>
              <w:t>Правила доверительного управления паевым инвестиционным фондом зарегистрированы за № 3591 от 13.11.2018 г.</w:t>
            </w:r>
          </w:p>
          <w:p w:rsidR="005705A3" w:rsidRDefault="005705A3" w:rsidP="005705A3">
            <w:pPr>
              <w:pStyle w:val="1"/>
              <w:numPr>
                <w:ilvl w:val="0"/>
                <w:numId w:val="19"/>
              </w:numPr>
            </w:pPr>
            <w:r>
              <w:t>Паевой инвестиционный фонд сформирован 26.11.2018 г.</w:t>
            </w:r>
          </w:p>
          <w:p w:rsidR="007B6AB8" w:rsidRDefault="007B6AB8" w:rsidP="005705A3">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w:t>
                  </w:r>
                  <w:r w:rsidR="005705A3">
                    <w:rPr>
                      <w:sz w:val="14"/>
                    </w:rPr>
                    <w:t>8</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705A3" w:rsidRPr="005705A3">
                    <w:rPr>
                      <w:sz w:val="14"/>
                    </w:rPr>
                    <w:t>Invesco QQQ Trust, Series 1</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B8" w:rsidRDefault="00FA47B8" w:rsidP="00566956">
      <w:r>
        <w:separator/>
      </w:r>
    </w:p>
  </w:endnote>
  <w:endnote w:type="continuationSeparator" w:id="0">
    <w:p w:rsidR="00FA47B8" w:rsidRDefault="00FA47B8"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B8" w:rsidRDefault="00FA47B8" w:rsidP="00566956">
      <w:r>
        <w:separator/>
      </w:r>
    </w:p>
  </w:footnote>
  <w:footnote w:type="continuationSeparator" w:id="0">
    <w:p w:rsidR="00FA47B8" w:rsidRDefault="00FA47B8"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D6C1C"/>
    <w:rsid w:val="00324C85"/>
    <w:rsid w:val="00335CC0"/>
    <w:rsid w:val="00345DE5"/>
    <w:rsid w:val="00350CC8"/>
    <w:rsid w:val="00377AA2"/>
    <w:rsid w:val="00396F86"/>
    <w:rsid w:val="003C6249"/>
    <w:rsid w:val="004070AC"/>
    <w:rsid w:val="004074F3"/>
    <w:rsid w:val="004367BC"/>
    <w:rsid w:val="00561A55"/>
    <w:rsid w:val="00566956"/>
    <w:rsid w:val="005705A3"/>
    <w:rsid w:val="00571D75"/>
    <w:rsid w:val="00596E3B"/>
    <w:rsid w:val="005A118D"/>
    <w:rsid w:val="005C7303"/>
    <w:rsid w:val="00600320"/>
    <w:rsid w:val="00605F31"/>
    <w:rsid w:val="00615639"/>
    <w:rsid w:val="00631387"/>
    <w:rsid w:val="0066047B"/>
    <w:rsid w:val="00684892"/>
    <w:rsid w:val="006A1DAF"/>
    <w:rsid w:val="006A457C"/>
    <w:rsid w:val="006A52E9"/>
    <w:rsid w:val="006B571D"/>
    <w:rsid w:val="006C4C61"/>
    <w:rsid w:val="006D522D"/>
    <w:rsid w:val="006E7897"/>
    <w:rsid w:val="007041B8"/>
    <w:rsid w:val="00706E7A"/>
    <w:rsid w:val="00714E9F"/>
    <w:rsid w:val="00732A5A"/>
    <w:rsid w:val="007428D0"/>
    <w:rsid w:val="007430AA"/>
    <w:rsid w:val="00772E9D"/>
    <w:rsid w:val="007839AF"/>
    <w:rsid w:val="00787466"/>
    <w:rsid w:val="007B6AB8"/>
    <w:rsid w:val="007E127F"/>
    <w:rsid w:val="007E65F9"/>
    <w:rsid w:val="00802D4A"/>
    <w:rsid w:val="008550A1"/>
    <w:rsid w:val="008764D8"/>
    <w:rsid w:val="0087720C"/>
    <w:rsid w:val="008C34C5"/>
    <w:rsid w:val="008C6C21"/>
    <w:rsid w:val="00912219"/>
    <w:rsid w:val="00923988"/>
    <w:rsid w:val="009C4836"/>
    <w:rsid w:val="009F28EB"/>
    <w:rsid w:val="00A003E1"/>
    <w:rsid w:val="00A0773D"/>
    <w:rsid w:val="00A41760"/>
    <w:rsid w:val="00A729D0"/>
    <w:rsid w:val="00AA7E8D"/>
    <w:rsid w:val="00AD0BBC"/>
    <w:rsid w:val="00AD72DB"/>
    <w:rsid w:val="00AF334C"/>
    <w:rsid w:val="00B10175"/>
    <w:rsid w:val="00B136C6"/>
    <w:rsid w:val="00B200D2"/>
    <w:rsid w:val="00B504D4"/>
    <w:rsid w:val="00B5641F"/>
    <w:rsid w:val="00B703A5"/>
    <w:rsid w:val="00BA12BE"/>
    <w:rsid w:val="00BA3D26"/>
    <w:rsid w:val="00BA7CFF"/>
    <w:rsid w:val="00BC0CE6"/>
    <w:rsid w:val="00BE6278"/>
    <w:rsid w:val="00C05F59"/>
    <w:rsid w:val="00C61B9C"/>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956F2"/>
    <w:rsid w:val="00EA3AF7"/>
    <w:rsid w:val="00EA4D22"/>
    <w:rsid w:val="00EB0060"/>
    <w:rsid w:val="00EB5125"/>
    <w:rsid w:val="00EF3CF1"/>
    <w:rsid w:val="00F561E3"/>
    <w:rsid w:val="00FA47B8"/>
    <w:rsid w:val="00FB0F11"/>
    <w:rsid w:val="00FB6B12"/>
    <w:rsid w:val="00FC657D"/>
    <w:rsid w:val="00FC6A6C"/>
    <w:rsid w:val="00FD3842"/>
    <w:rsid w:val="00FD72B0"/>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tech1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ДОХОДНОСТЬ!$O$133:$O$137</c:f>
              <c:strCache>
                <c:ptCount val="5"/>
                <c:pt idx="0">
                  <c:v>2018**</c:v>
                </c:pt>
                <c:pt idx="1">
                  <c:v>2019</c:v>
                </c:pt>
                <c:pt idx="2">
                  <c:v>2020</c:v>
                </c:pt>
                <c:pt idx="3">
                  <c:v>2021</c:v>
                </c:pt>
                <c:pt idx="4">
                  <c:v>2022***</c:v>
                </c:pt>
              </c:strCache>
            </c:strRef>
          </c:cat>
          <c:val>
            <c:numRef>
              <c:f>ДОХОДНОСТЬ!$P$133:$P$137</c:f>
              <c:numCache>
                <c:formatCode>0%</c:formatCode>
                <c:ptCount val="5"/>
                <c:pt idx="0">
                  <c:v>-1.0989180358188744E-2</c:v>
                </c:pt>
                <c:pt idx="1">
                  <c:v>0.22810079633467861</c:v>
                </c:pt>
                <c:pt idx="2">
                  <c:v>0.75769532142222684</c:v>
                </c:pt>
                <c:pt idx="3">
                  <c:v>0.2763635941633491</c:v>
                </c:pt>
                <c:pt idx="4">
                  <c:v>-2.0302287826753918E-2</c:v>
                </c:pt>
              </c:numCache>
            </c:numRef>
          </c:val>
          <c:extLst>
            <c:ext xmlns:c16="http://schemas.microsoft.com/office/drawing/2014/chart" uri="{C3380CC4-5D6E-409C-BE32-E72D297353CC}">
              <c16:uniqueId val="{00000000-55F5-4C56-973F-BC1B2DEC4B8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9EEE-116D-4008-BAB8-5847CC15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8</cp:revision>
  <dcterms:created xsi:type="dcterms:W3CDTF">2023-03-22T13:25:00Z</dcterms:created>
  <dcterms:modified xsi:type="dcterms:W3CDTF">2023-06-02T08:16:00Z</dcterms:modified>
</cp:coreProperties>
</file>