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57AD2A63" w14:textId="77777777" w:rsidR="007958E3" w:rsidRPr="005D3E5F" w:rsidRDefault="007958E3" w:rsidP="007958E3">
            <w:pPr>
              <w:pStyle w:val="af5"/>
              <w:jc w:val="left"/>
              <w:rPr>
                <w:bCs/>
                <w:color w:val="000000"/>
              </w:rPr>
            </w:pPr>
            <w:r w:rsidRPr="005D3E5F">
              <w:rPr>
                <w:bCs/>
                <w:color w:val="000000"/>
                <w:lang w:val="ru-RU"/>
              </w:rPr>
              <w:t>АО «Специализированный депозитарий «ИНФИНИТУМ»</w:t>
            </w:r>
          </w:p>
          <w:p w14:paraId="293FFDA5" w14:textId="77777777" w:rsidR="007958E3" w:rsidRDefault="007958E3" w:rsidP="007958E3">
            <w:pPr>
              <w:pStyle w:val="af5"/>
              <w:jc w:val="left"/>
              <w:rPr>
                <w:b/>
                <w:bCs/>
                <w:color w:val="000000"/>
              </w:rPr>
            </w:pPr>
          </w:p>
          <w:p w14:paraId="16F26914" w14:textId="77777777" w:rsidR="007958E3" w:rsidRDefault="007958E3" w:rsidP="007958E3">
            <w:pPr>
              <w:pStyle w:val="af5"/>
              <w:jc w:val="left"/>
              <w:rPr>
                <w:b/>
                <w:bCs/>
                <w:color w:val="000000"/>
              </w:rPr>
            </w:pPr>
          </w:p>
          <w:p w14:paraId="6CB5D857" w14:textId="77777777" w:rsidR="007958E3" w:rsidRPr="00A262C2" w:rsidRDefault="007958E3" w:rsidP="007958E3">
            <w:pPr>
              <w:pStyle w:val="af5"/>
              <w:jc w:val="left"/>
              <w:rPr>
                <w:b/>
                <w:bCs/>
                <w:color w:val="000000"/>
              </w:rPr>
            </w:pPr>
            <w:r w:rsidRPr="00A262C2">
              <w:rPr>
                <w:b/>
                <w:bCs/>
                <w:color w:val="000000"/>
              </w:rPr>
              <w:t>Генеральный директор</w:t>
            </w:r>
            <w:r w:rsidRPr="00A262C2">
              <w:rPr>
                <w:color w:val="000000"/>
              </w:rPr>
              <w:t xml:space="preserve">                                             </w:t>
            </w:r>
          </w:p>
          <w:p w14:paraId="173964AA" w14:textId="77777777" w:rsidR="007958E3" w:rsidRDefault="007958E3" w:rsidP="007958E3">
            <w:pPr>
              <w:pStyle w:val="af5"/>
              <w:jc w:val="left"/>
              <w:rPr>
                <w:b/>
                <w:bCs/>
                <w:color w:val="000000"/>
                <w:lang w:val="ru-RU"/>
              </w:rPr>
            </w:pPr>
            <w:r w:rsidRPr="00A262C2">
              <w:rPr>
                <w:b/>
                <w:bCs/>
                <w:color w:val="000000"/>
              </w:rPr>
              <w:t>_____________________</w:t>
            </w:r>
            <w:r>
              <w:rPr>
                <w:b/>
                <w:bCs/>
                <w:color w:val="000000"/>
                <w:lang w:val="ru-RU"/>
              </w:rPr>
              <w:t xml:space="preserve"> </w:t>
            </w:r>
            <w:proofErr w:type="spellStart"/>
            <w:r>
              <w:rPr>
                <w:b/>
                <w:bCs/>
                <w:color w:val="000000"/>
                <w:lang w:val="ru-RU"/>
              </w:rPr>
              <w:t>Прасс</w:t>
            </w:r>
            <w:proofErr w:type="spellEnd"/>
            <w:r>
              <w:rPr>
                <w:b/>
                <w:bCs/>
                <w:color w:val="000000"/>
                <w:lang w:val="ru-RU"/>
              </w:rPr>
              <w:t xml:space="preserve"> П.И.</w:t>
            </w:r>
          </w:p>
          <w:p w14:paraId="426A62E8" w14:textId="77777777" w:rsidR="008778C9" w:rsidRPr="0084209F" w:rsidRDefault="008778C9" w:rsidP="00AE6CDF">
            <w:pPr>
              <w:pStyle w:val="af5"/>
              <w:jc w:val="left"/>
              <w:rPr>
                <w:b/>
                <w:bCs/>
                <w:color w:val="000000"/>
                <w:lang w:val="ru-RU"/>
              </w:rPr>
            </w:pPr>
          </w:p>
          <w:p w14:paraId="066132CE" w14:textId="0C68EA81" w:rsidR="008778C9" w:rsidRPr="0084209F" w:rsidRDefault="00272E13" w:rsidP="00AE6CDF">
            <w:pPr>
              <w:pStyle w:val="af5"/>
              <w:jc w:val="left"/>
              <w:rPr>
                <w:b/>
                <w:bCs/>
                <w:color w:val="000000"/>
                <w:lang w:val="ru-RU"/>
              </w:rPr>
            </w:pPr>
            <w:r w:rsidRPr="00272E13">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6AB727A8" w14:textId="77777777" w:rsidR="00272E13" w:rsidRPr="00272E13" w:rsidRDefault="00272E13" w:rsidP="00272E13">
            <w:pPr>
              <w:pStyle w:val="af5"/>
              <w:rPr>
                <w:b/>
                <w:bCs/>
                <w:color w:val="000000"/>
                <w:lang w:val="ru-RU"/>
              </w:rPr>
            </w:pPr>
            <w:r w:rsidRPr="00272E13">
              <w:rPr>
                <w:color w:val="000000"/>
                <w:lang w:val="ru-RU"/>
              </w:rPr>
              <w:t>Приказом ИО Генерального директора</w:t>
            </w:r>
            <w:r w:rsidRPr="00272E13">
              <w:rPr>
                <w:b/>
                <w:bCs/>
                <w:color w:val="000000"/>
                <w:lang w:val="ru-RU"/>
              </w:rPr>
              <w:t xml:space="preserve"> </w:t>
            </w:r>
          </w:p>
          <w:p w14:paraId="0F7942CF" w14:textId="77777777" w:rsidR="00272E13" w:rsidRPr="00272E13" w:rsidRDefault="00272E13" w:rsidP="00272E13">
            <w:pPr>
              <w:pStyle w:val="af5"/>
              <w:rPr>
                <w:color w:val="000000"/>
                <w:lang w:val="ru-RU"/>
              </w:rPr>
            </w:pPr>
            <w:r w:rsidRPr="00272E13">
              <w:rPr>
                <w:color w:val="000000"/>
                <w:lang w:val="ru-RU"/>
              </w:rPr>
              <w:t xml:space="preserve">ООО УК «Альфа-Капитал» </w:t>
            </w:r>
          </w:p>
          <w:p w14:paraId="3A04AC75" w14:textId="5C22D30C" w:rsidR="00272E13" w:rsidRPr="00272E13" w:rsidRDefault="00272E13" w:rsidP="00272E13">
            <w:pPr>
              <w:pStyle w:val="af5"/>
              <w:rPr>
                <w:b/>
                <w:bCs/>
                <w:color w:val="000000"/>
                <w:lang w:val="ru-RU"/>
              </w:rPr>
            </w:pPr>
            <w:r w:rsidRPr="00272E13">
              <w:rPr>
                <w:color w:val="000000"/>
                <w:lang w:val="ru-RU"/>
              </w:rPr>
              <w:t>№</w:t>
            </w:r>
            <w:r w:rsidRPr="00272E13">
              <w:rPr>
                <w:color w:val="000000"/>
              </w:rPr>
              <w:t xml:space="preserve"> </w:t>
            </w:r>
            <w:r w:rsidR="00221E95" w:rsidRPr="00155587">
              <w:rPr>
                <w:color w:val="000000"/>
                <w:lang w:val="ru-RU"/>
              </w:rPr>
              <w:t>81</w:t>
            </w:r>
            <w:r w:rsidRPr="00272E13">
              <w:rPr>
                <w:color w:val="000000"/>
                <w:lang w:val="ru-RU"/>
              </w:rPr>
              <w:t>/23 от «21» июня 2023 г.</w:t>
            </w:r>
          </w:p>
          <w:p w14:paraId="6058D340" w14:textId="77777777" w:rsidR="00272E13" w:rsidRPr="00272E13" w:rsidRDefault="00272E13" w:rsidP="00272E13">
            <w:pPr>
              <w:pStyle w:val="af5"/>
              <w:rPr>
                <w:b/>
                <w:bCs/>
                <w:color w:val="000000"/>
                <w:lang w:val="ru-RU"/>
              </w:rPr>
            </w:pPr>
          </w:p>
          <w:p w14:paraId="4AAD3AC8" w14:textId="77777777" w:rsidR="00272E13" w:rsidRPr="00272E13" w:rsidRDefault="00272E13" w:rsidP="00272E13">
            <w:pPr>
              <w:pStyle w:val="af5"/>
              <w:rPr>
                <w:b/>
                <w:bCs/>
                <w:color w:val="000000"/>
                <w:lang w:val="ru-RU"/>
              </w:rPr>
            </w:pPr>
            <w:r w:rsidRPr="00272E13">
              <w:rPr>
                <w:b/>
                <w:bCs/>
                <w:color w:val="000000"/>
                <w:lang w:val="ru-RU"/>
              </w:rPr>
              <w:t>И.О. Генерального директора</w:t>
            </w:r>
          </w:p>
          <w:p w14:paraId="72B4E026" w14:textId="77777777" w:rsidR="00272E13" w:rsidRPr="00272E13" w:rsidRDefault="00272E13" w:rsidP="00272E13">
            <w:pPr>
              <w:pStyle w:val="af5"/>
              <w:rPr>
                <w:b/>
                <w:bCs/>
                <w:color w:val="000000"/>
                <w:lang w:val="ru-RU"/>
              </w:rPr>
            </w:pPr>
            <w:r w:rsidRPr="00272E13">
              <w:rPr>
                <w:b/>
                <w:bCs/>
                <w:color w:val="000000"/>
                <w:lang w:val="ru-RU"/>
              </w:rPr>
              <w:t xml:space="preserve">_____________________ А.В. Списивый </w:t>
            </w:r>
          </w:p>
          <w:p w14:paraId="2007F550" w14:textId="77777777" w:rsidR="00272E13" w:rsidRPr="00272E13" w:rsidRDefault="00272E13" w:rsidP="00272E13">
            <w:pPr>
              <w:pStyle w:val="af5"/>
              <w:rPr>
                <w:b/>
                <w:bCs/>
                <w:color w:val="000000"/>
                <w:lang w:val="ru-RU"/>
              </w:rPr>
            </w:pPr>
          </w:p>
          <w:p w14:paraId="118D4432" w14:textId="6C5AB9EE" w:rsidR="008778C9" w:rsidRPr="0084209F" w:rsidRDefault="00272E13" w:rsidP="00272E13">
            <w:pPr>
              <w:pStyle w:val="af5"/>
              <w:jc w:val="left"/>
              <w:rPr>
                <w:b/>
                <w:bCs/>
                <w:color w:val="000000"/>
                <w:lang w:val="ru-RU"/>
              </w:rPr>
            </w:pPr>
            <w:r w:rsidRPr="00272E13">
              <w:rPr>
                <w:b/>
                <w:bCs/>
                <w:color w:val="000000"/>
                <w:lang w:val="ru-RU"/>
              </w:rPr>
              <w:t>«21» июня 2023 г.</w:t>
            </w: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72951378" w:rsidR="00776E51" w:rsidRPr="00A53A5F" w:rsidRDefault="007958E3" w:rsidP="008778C9">
      <w:pPr>
        <w:jc w:val="center"/>
        <w:rPr>
          <w:b/>
          <w:snapToGrid w:val="0"/>
          <w:sz w:val="28"/>
          <w:szCs w:val="28"/>
        </w:rPr>
      </w:pPr>
      <w:r w:rsidRPr="00003A8E">
        <w:rPr>
          <w:b/>
          <w:snapToGrid w:val="0"/>
          <w:sz w:val="28"/>
          <w:szCs w:val="28"/>
        </w:rPr>
        <w:t>Закрытого рентного паевого инвестиционного фонда «</w:t>
      </w:r>
      <w:proofErr w:type="spellStart"/>
      <w:r w:rsidRPr="00003A8E">
        <w:rPr>
          <w:b/>
          <w:snapToGrid w:val="0"/>
          <w:sz w:val="28"/>
          <w:szCs w:val="28"/>
        </w:rPr>
        <w:t>Активо</w:t>
      </w:r>
      <w:proofErr w:type="spellEnd"/>
      <w:r w:rsidRPr="00003A8E">
        <w:rPr>
          <w:b/>
          <w:snapToGrid w:val="0"/>
          <w:sz w:val="28"/>
          <w:szCs w:val="28"/>
        </w:rPr>
        <w:t xml:space="preserve"> один»</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1336AACD" w14:textId="0420CE09" w:rsidR="00DA47C9"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620522" w:history="1">
        <w:r w:rsidR="00DA47C9" w:rsidRPr="00994CE4">
          <w:rPr>
            <w:rStyle w:val="ae"/>
            <w:b/>
            <w:noProof/>
          </w:rPr>
          <w:t>I.</w:t>
        </w:r>
        <w:r w:rsidR="00DA47C9">
          <w:rPr>
            <w:rFonts w:asciiTheme="minorHAnsi" w:eastAsiaTheme="minorEastAsia" w:hAnsiTheme="minorHAnsi" w:cstheme="minorBidi"/>
            <w:noProof/>
            <w:sz w:val="22"/>
            <w:szCs w:val="22"/>
            <w:lang w:eastAsia="ru-RU"/>
          </w:rPr>
          <w:tab/>
        </w:r>
        <w:r w:rsidR="00DA47C9" w:rsidRPr="00994CE4">
          <w:rPr>
            <w:rStyle w:val="ae"/>
            <w:b/>
            <w:noProof/>
          </w:rPr>
          <w:t>Общие положения</w:t>
        </w:r>
        <w:r w:rsidR="00DA47C9">
          <w:rPr>
            <w:noProof/>
            <w:webHidden/>
          </w:rPr>
          <w:tab/>
        </w:r>
        <w:r w:rsidR="00DA47C9">
          <w:rPr>
            <w:noProof/>
            <w:webHidden/>
          </w:rPr>
          <w:fldChar w:fldCharType="begin"/>
        </w:r>
        <w:r w:rsidR="00DA47C9">
          <w:rPr>
            <w:noProof/>
            <w:webHidden/>
          </w:rPr>
          <w:instrText xml:space="preserve"> PAGEREF _Toc122620522 \h </w:instrText>
        </w:r>
        <w:r w:rsidR="00DA47C9">
          <w:rPr>
            <w:noProof/>
            <w:webHidden/>
          </w:rPr>
        </w:r>
        <w:r w:rsidR="00DA47C9">
          <w:rPr>
            <w:noProof/>
            <w:webHidden/>
          </w:rPr>
          <w:fldChar w:fldCharType="separate"/>
        </w:r>
        <w:r w:rsidR="00DA47C9">
          <w:rPr>
            <w:noProof/>
            <w:webHidden/>
          </w:rPr>
          <w:t>3</w:t>
        </w:r>
        <w:r w:rsidR="00DA47C9">
          <w:rPr>
            <w:noProof/>
            <w:webHidden/>
          </w:rPr>
          <w:fldChar w:fldCharType="end"/>
        </w:r>
      </w:hyperlink>
    </w:p>
    <w:p w14:paraId="33434088" w14:textId="2F16F1B6" w:rsidR="00DA47C9" w:rsidRDefault="00155587">
      <w:pPr>
        <w:pStyle w:val="13"/>
        <w:rPr>
          <w:rFonts w:asciiTheme="minorHAnsi" w:eastAsiaTheme="minorEastAsia" w:hAnsiTheme="minorHAnsi" w:cstheme="minorBidi"/>
          <w:noProof/>
          <w:sz w:val="22"/>
          <w:szCs w:val="22"/>
          <w:lang w:eastAsia="ru-RU"/>
        </w:rPr>
      </w:pPr>
      <w:hyperlink w:anchor="_Toc122620523" w:history="1">
        <w:r w:rsidR="00DA47C9" w:rsidRPr="00994CE4">
          <w:rPr>
            <w:rStyle w:val="ae"/>
            <w:b/>
            <w:noProof/>
          </w:rPr>
          <w:t>II.</w:t>
        </w:r>
        <w:r w:rsidR="00DA47C9">
          <w:rPr>
            <w:rFonts w:asciiTheme="minorHAnsi" w:eastAsiaTheme="minorEastAsia" w:hAnsiTheme="minorHAnsi" w:cstheme="minorBidi"/>
            <w:noProof/>
            <w:sz w:val="22"/>
            <w:szCs w:val="22"/>
            <w:lang w:eastAsia="ru-RU"/>
          </w:rPr>
          <w:tab/>
        </w:r>
        <w:r w:rsidR="00DA47C9" w:rsidRPr="00994CE4">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DA47C9">
          <w:rPr>
            <w:noProof/>
            <w:webHidden/>
          </w:rPr>
          <w:tab/>
        </w:r>
        <w:r w:rsidR="00DA47C9">
          <w:rPr>
            <w:noProof/>
            <w:webHidden/>
          </w:rPr>
          <w:fldChar w:fldCharType="begin"/>
        </w:r>
        <w:r w:rsidR="00DA47C9">
          <w:rPr>
            <w:noProof/>
            <w:webHidden/>
          </w:rPr>
          <w:instrText xml:space="preserve"> PAGEREF _Toc122620523 \h </w:instrText>
        </w:r>
        <w:r w:rsidR="00DA47C9">
          <w:rPr>
            <w:noProof/>
            <w:webHidden/>
          </w:rPr>
        </w:r>
        <w:r w:rsidR="00DA47C9">
          <w:rPr>
            <w:noProof/>
            <w:webHidden/>
          </w:rPr>
          <w:fldChar w:fldCharType="separate"/>
        </w:r>
        <w:r w:rsidR="00DA47C9">
          <w:rPr>
            <w:noProof/>
            <w:webHidden/>
          </w:rPr>
          <w:t>3</w:t>
        </w:r>
        <w:r w:rsidR="00DA47C9">
          <w:rPr>
            <w:noProof/>
            <w:webHidden/>
          </w:rPr>
          <w:fldChar w:fldCharType="end"/>
        </w:r>
      </w:hyperlink>
    </w:p>
    <w:p w14:paraId="360F74E1" w14:textId="24F308D1" w:rsidR="00DA47C9" w:rsidRDefault="00155587">
      <w:pPr>
        <w:pStyle w:val="13"/>
        <w:rPr>
          <w:rFonts w:asciiTheme="minorHAnsi" w:eastAsiaTheme="minorEastAsia" w:hAnsiTheme="minorHAnsi" w:cstheme="minorBidi"/>
          <w:noProof/>
          <w:sz w:val="22"/>
          <w:szCs w:val="22"/>
          <w:lang w:eastAsia="ru-RU"/>
        </w:rPr>
      </w:pPr>
      <w:hyperlink w:anchor="_Toc122620524" w:history="1">
        <w:r w:rsidR="00DA47C9" w:rsidRPr="00994CE4">
          <w:rPr>
            <w:rStyle w:val="ae"/>
            <w:b/>
            <w:noProof/>
          </w:rPr>
          <w:t>III.</w:t>
        </w:r>
        <w:r w:rsidR="00DA47C9">
          <w:rPr>
            <w:rFonts w:asciiTheme="minorHAnsi" w:eastAsiaTheme="minorEastAsia" w:hAnsiTheme="minorHAnsi" w:cstheme="minorBidi"/>
            <w:noProof/>
            <w:sz w:val="22"/>
            <w:szCs w:val="22"/>
            <w:lang w:eastAsia="ru-RU"/>
          </w:rPr>
          <w:tab/>
        </w:r>
        <w:r w:rsidR="00DA47C9" w:rsidRPr="00994CE4">
          <w:rPr>
            <w:rStyle w:val="ae"/>
            <w:b/>
            <w:noProof/>
          </w:rPr>
          <w:t>Критерии признания, прекращения признания и методы определения стоимости активов и обязательств</w:t>
        </w:r>
        <w:r w:rsidR="00DA47C9">
          <w:rPr>
            <w:noProof/>
            <w:webHidden/>
          </w:rPr>
          <w:tab/>
        </w:r>
        <w:r w:rsidR="00DA47C9">
          <w:rPr>
            <w:noProof/>
            <w:webHidden/>
          </w:rPr>
          <w:fldChar w:fldCharType="begin"/>
        </w:r>
        <w:r w:rsidR="00DA47C9">
          <w:rPr>
            <w:noProof/>
            <w:webHidden/>
          </w:rPr>
          <w:instrText xml:space="preserve"> PAGEREF _Toc122620524 \h </w:instrText>
        </w:r>
        <w:r w:rsidR="00DA47C9">
          <w:rPr>
            <w:noProof/>
            <w:webHidden/>
          </w:rPr>
        </w:r>
        <w:r w:rsidR="00DA47C9">
          <w:rPr>
            <w:noProof/>
            <w:webHidden/>
          </w:rPr>
          <w:fldChar w:fldCharType="separate"/>
        </w:r>
        <w:r w:rsidR="00DA47C9">
          <w:rPr>
            <w:noProof/>
            <w:webHidden/>
          </w:rPr>
          <w:t>4</w:t>
        </w:r>
        <w:r w:rsidR="00DA47C9">
          <w:rPr>
            <w:noProof/>
            <w:webHidden/>
          </w:rPr>
          <w:fldChar w:fldCharType="end"/>
        </w:r>
      </w:hyperlink>
    </w:p>
    <w:p w14:paraId="0A039C8E" w14:textId="6D03FDE5" w:rsidR="00DA47C9" w:rsidRDefault="00155587">
      <w:pPr>
        <w:pStyle w:val="23"/>
        <w:rPr>
          <w:rFonts w:asciiTheme="minorHAnsi" w:eastAsiaTheme="minorEastAsia" w:hAnsiTheme="minorHAnsi" w:cstheme="minorBidi"/>
          <w:noProof/>
          <w:sz w:val="22"/>
          <w:szCs w:val="22"/>
          <w:lang w:eastAsia="ru-RU"/>
        </w:rPr>
      </w:pPr>
      <w:hyperlink w:anchor="_Toc122620525" w:history="1">
        <w:r w:rsidR="00DA47C9" w:rsidRPr="00994CE4">
          <w:rPr>
            <w:rStyle w:val="ae"/>
            <w:b/>
            <w:noProof/>
          </w:rPr>
          <w:t>1.</w:t>
        </w:r>
        <w:r w:rsidR="00DA47C9">
          <w:rPr>
            <w:rFonts w:asciiTheme="minorHAnsi" w:eastAsiaTheme="minorEastAsia" w:hAnsiTheme="minorHAnsi" w:cstheme="minorBidi"/>
            <w:noProof/>
            <w:sz w:val="22"/>
            <w:szCs w:val="22"/>
            <w:lang w:eastAsia="ru-RU"/>
          </w:rPr>
          <w:tab/>
        </w:r>
        <w:r w:rsidR="00DA47C9" w:rsidRPr="00994CE4">
          <w:rPr>
            <w:rStyle w:val="ae"/>
            <w:b/>
            <w:noProof/>
          </w:rPr>
          <w:t>Общие положения</w:t>
        </w:r>
        <w:r w:rsidR="00DA47C9">
          <w:rPr>
            <w:noProof/>
            <w:webHidden/>
          </w:rPr>
          <w:tab/>
        </w:r>
        <w:r w:rsidR="00DA47C9">
          <w:rPr>
            <w:noProof/>
            <w:webHidden/>
          </w:rPr>
          <w:fldChar w:fldCharType="begin"/>
        </w:r>
        <w:r w:rsidR="00DA47C9">
          <w:rPr>
            <w:noProof/>
            <w:webHidden/>
          </w:rPr>
          <w:instrText xml:space="preserve"> PAGEREF _Toc122620525 \h </w:instrText>
        </w:r>
        <w:r w:rsidR="00DA47C9">
          <w:rPr>
            <w:noProof/>
            <w:webHidden/>
          </w:rPr>
        </w:r>
        <w:r w:rsidR="00DA47C9">
          <w:rPr>
            <w:noProof/>
            <w:webHidden/>
          </w:rPr>
          <w:fldChar w:fldCharType="separate"/>
        </w:r>
        <w:r w:rsidR="00DA47C9">
          <w:rPr>
            <w:noProof/>
            <w:webHidden/>
          </w:rPr>
          <w:t>4</w:t>
        </w:r>
        <w:r w:rsidR="00DA47C9">
          <w:rPr>
            <w:noProof/>
            <w:webHidden/>
          </w:rPr>
          <w:fldChar w:fldCharType="end"/>
        </w:r>
      </w:hyperlink>
    </w:p>
    <w:p w14:paraId="4799ABA2" w14:textId="4BC4A2E4" w:rsidR="00DA47C9" w:rsidRDefault="00155587">
      <w:pPr>
        <w:pStyle w:val="23"/>
        <w:rPr>
          <w:rFonts w:asciiTheme="minorHAnsi" w:eastAsiaTheme="minorEastAsia" w:hAnsiTheme="minorHAnsi" w:cstheme="minorBidi"/>
          <w:noProof/>
          <w:sz w:val="22"/>
          <w:szCs w:val="22"/>
          <w:lang w:eastAsia="ru-RU"/>
        </w:rPr>
      </w:pPr>
      <w:hyperlink w:anchor="_Toc122620526" w:history="1">
        <w:r w:rsidR="00DA47C9" w:rsidRPr="00994CE4">
          <w:rPr>
            <w:rStyle w:val="ae"/>
            <w:b/>
            <w:noProof/>
          </w:rPr>
          <w:t>2.</w:t>
        </w:r>
        <w:r w:rsidR="00DA47C9">
          <w:rPr>
            <w:rFonts w:asciiTheme="minorHAnsi" w:eastAsiaTheme="minorEastAsia" w:hAnsiTheme="minorHAnsi" w:cstheme="minorBidi"/>
            <w:noProof/>
            <w:sz w:val="22"/>
            <w:szCs w:val="22"/>
            <w:lang w:eastAsia="ru-RU"/>
          </w:rPr>
          <w:tab/>
        </w:r>
        <w:r w:rsidR="00DA47C9" w:rsidRPr="00994CE4">
          <w:rPr>
            <w:rStyle w:val="ae"/>
            <w:b/>
            <w:noProof/>
          </w:rPr>
          <w:t>Порядок корректировки стоимости активов, составляющих имущество ПИФ</w:t>
        </w:r>
        <w:r w:rsidR="00DA47C9">
          <w:rPr>
            <w:noProof/>
            <w:webHidden/>
          </w:rPr>
          <w:tab/>
        </w:r>
        <w:r w:rsidR="00DA47C9">
          <w:rPr>
            <w:noProof/>
            <w:webHidden/>
          </w:rPr>
          <w:fldChar w:fldCharType="begin"/>
        </w:r>
        <w:r w:rsidR="00DA47C9">
          <w:rPr>
            <w:noProof/>
            <w:webHidden/>
          </w:rPr>
          <w:instrText xml:space="preserve"> PAGEREF _Toc122620526 \h </w:instrText>
        </w:r>
        <w:r w:rsidR="00DA47C9">
          <w:rPr>
            <w:noProof/>
            <w:webHidden/>
          </w:rPr>
        </w:r>
        <w:r w:rsidR="00DA47C9">
          <w:rPr>
            <w:noProof/>
            <w:webHidden/>
          </w:rPr>
          <w:fldChar w:fldCharType="separate"/>
        </w:r>
        <w:r w:rsidR="00DA47C9">
          <w:rPr>
            <w:noProof/>
            <w:webHidden/>
          </w:rPr>
          <w:t>5</w:t>
        </w:r>
        <w:r w:rsidR="00DA47C9">
          <w:rPr>
            <w:noProof/>
            <w:webHidden/>
          </w:rPr>
          <w:fldChar w:fldCharType="end"/>
        </w:r>
      </w:hyperlink>
    </w:p>
    <w:p w14:paraId="6D5A3A98" w14:textId="7BADC4DA" w:rsidR="00DA47C9" w:rsidRDefault="00155587">
      <w:pPr>
        <w:pStyle w:val="23"/>
        <w:rPr>
          <w:rFonts w:asciiTheme="minorHAnsi" w:eastAsiaTheme="minorEastAsia" w:hAnsiTheme="minorHAnsi" w:cstheme="minorBidi"/>
          <w:noProof/>
          <w:sz w:val="22"/>
          <w:szCs w:val="22"/>
          <w:lang w:eastAsia="ru-RU"/>
        </w:rPr>
      </w:pPr>
      <w:hyperlink w:anchor="_Toc122620527" w:history="1">
        <w:r w:rsidR="00DA47C9" w:rsidRPr="00994CE4">
          <w:rPr>
            <w:rStyle w:val="ae"/>
            <w:b/>
            <w:noProof/>
          </w:rPr>
          <w:t>3.</w:t>
        </w:r>
        <w:r w:rsidR="00DA47C9">
          <w:rPr>
            <w:rFonts w:asciiTheme="minorHAnsi" w:eastAsiaTheme="minorEastAsia" w:hAnsiTheme="minorHAnsi" w:cstheme="minorBidi"/>
            <w:noProof/>
            <w:sz w:val="22"/>
            <w:szCs w:val="22"/>
            <w:lang w:eastAsia="ru-RU"/>
          </w:rPr>
          <w:tab/>
        </w:r>
        <w:r w:rsidR="00DA47C9" w:rsidRPr="00994CE4">
          <w:rPr>
            <w:rStyle w:val="ae"/>
            <w:b/>
            <w:noProof/>
          </w:rPr>
          <w:t>Признание и оценка денежных средств</w:t>
        </w:r>
        <w:r w:rsidR="00DA47C9">
          <w:rPr>
            <w:noProof/>
            <w:webHidden/>
          </w:rPr>
          <w:tab/>
        </w:r>
        <w:r w:rsidR="00DA47C9">
          <w:rPr>
            <w:noProof/>
            <w:webHidden/>
          </w:rPr>
          <w:fldChar w:fldCharType="begin"/>
        </w:r>
        <w:r w:rsidR="00DA47C9">
          <w:rPr>
            <w:noProof/>
            <w:webHidden/>
          </w:rPr>
          <w:instrText xml:space="preserve"> PAGEREF _Toc122620527 \h </w:instrText>
        </w:r>
        <w:r w:rsidR="00DA47C9">
          <w:rPr>
            <w:noProof/>
            <w:webHidden/>
          </w:rPr>
        </w:r>
        <w:r w:rsidR="00DA47C9">
          <w:rPr>
            <w:noProof/>
            <w:webHidden/>
          </w:rPr>
          <w:fldChar w:fldCharType="separate"/>
        </w:r>
        <w:r w:rsidR="00DA47C9">
          <w:rPr>
            <w:noProof/>
            <w:webHidden/>
          </w:rPr>
          <w:t>8</w:t>
        </w:r>
        <w:r w:rsidR="00DA47C9">
          <w:rPr>
            <w:noProof/>
            <w:webHidden/>
          </w:rPr>
          <w:fldChar w:fldCharType="end"/>
        </w:r>
      </w:hyperlink>
    </w:p>
    <w:p w14:paraId="3986C3C4" w14:textId="62498875" w:rsidR="00DA47C9" w:rsidRDefault="00155587">
      <w:pPr>
        <w:pStyle w:val="23"/>
        <w:rPr>
          <w:rFonts w:asciiTheme="minorHAnsi" w:eastAsiaTheme="minorEastAsia" w:hAnsiTheme="minorHAnsi" w:cstheme="minorBidi"/>
          <w:noProof/>
          <w:sz w:val="22"/>
          <w:szCs w:val="22"/>
          <w:lang w:eastAsia="ru-RU"/>
        </w:rPr>
      </w:pPr>
      <w:hyperlink w:anchor="_Toc122620528" w:history="1">
        <w:r w:rsidR="00DA47C9" w:rsidRPr="00994CE4">
          <w:rPr>
            <w:rStyle w:val="ae"/>
            <w:b/>
            <w:noProof/>
          </w:rPr>
          <w:t>4.</w:t>
        </w:r>
        <w:r w:rsidR="00DA47C9">
          <w:rPr>
            <w:rFonts w:asciiTheme="minorHAnsi" w:eastAsiaTheme="minorEastAsia" w:hAnsiTheme="minorHAnsi" w:cstheme="minorBidi"/>
            <w:noProof/>
            <w:sz w:val="22"/>
            <w:szCs w:val="22"/>
            <w:lang w:eastAsia="ru-RU"/>
          </w:rPr>
          <w:tab/>
        </w:r>
        <w:r w:rsidR="00DA47C9" w:rsidRPr="00994CE4">
          <w:rPr>
            <w:rStyle w:val="ae"/>
            <w:b/>
            <w:noProof/>
          </w:rPr>
          <w:t>Признание и оценка депозитов</w:t>
        </w:r>
        <w:r w:rsidR="00DA47C9">
          <w:rPr>
            <w:noProof/>
            <w:webHidden/>
          </w:rPr>
          <w:tab/>
        </w:r>
        <w:r w:rsidR="00DA47C9">
          <w:rPr>
            <w:noProof/>
            <w:webHidden/>
          </w:rPr>
          <w:fldChar w:fldCharType="begin"/>
        </w:r>
        <w:r w:rsidR="00DA47C9">
          <w:rPr>
            <w:noProof/>
            <w:webHidden/>
          </w:rPr>
          <w:instrText xml:space="preserve"> PAGEREF _Toc122620528 \h </w:instrText>
        </w:r>
        <w:r w:rsidR="00DA47C9">
          <w:rPr>
            <w:noProof/>
            <w:webHidden/>
          </w:rPr>
        </w:r>
        <w:r w:rsidR="00DA47C9">
          <w:rPr>
            <w:noProof/>
            <w:webHidden/>
          </w:rPr>
          <w:fldChar w:fldCharType="separate"/>
        </w:r>
        <w:r w:rsidR="00DA47C9">
          <w:rPr>
            <w:noProof/>
            <w:webHidden/>
          </w:rPr>
          <w:t>9</w:t>
        </w:r>
        <w:r w:rsidR="00DA47C9">
          <w:rPr>
            <w:noProof/>
            <w:webHidden/>
          </w:rPr>
          <w:fldChar w:fldCharType="end"/>
        </w:r>
      </w:hyperlink>
    </w:p>
    <w:p w14:paraId="02111B6F" w14:textId="6A0647C3" w:rsidR="00DA47C9" w:rsidRDefault="00155587">
      <w:pPr>
        <w:pStyle w:val="23"/>
        <w:rPr>
          <w:rFonts w:asciiTheme="minorHAnsi" w:eastAsiaTheme="minorEastAsia" w:hAnsiTheme="minorHAnsi" w:cstheme="minorBidi"/>
          <w:noProof/>
          <w:sz w:val="22"/>
          <w:szCs w:val="22"/>
          <w:lang w:eastAsia="ru-RU"/>
        </w:rPr>
      </w:pPr>
      <w:hyperlink w:anchor="_Toc122620529" w:history="1">
        <w:r w:rsidR="00DA47C9" w:rsidRPr="00994CE4">
          <w:rPr>
            <w:rStyle w:val="ae"/>
            <w:b/>
            <w:noProof/>
          </w:rPr>
          <w:t>5.</w:t>
        </w:r>
        <w:r w:rsidR="00DA47C9">
          <w:rPr>
            <w:rFonts w:asciiTheme="minorHAnsi" w:eastAsiaTheme="minorEastAsia" w:hAnsiTheme="minorHAnsi" w:cstheme="minorBidi"/>
            <w:noProof/>
            <w:sz w:val="22"/>
            <w:szCs w:val="22"/>
            <w:lang w:eastAsia="ru-RU"/>
          </w:rPr>
          <w:tab/>
        </w:r>
        <w:r w:rsidR="00DA47C9" w:rsidRPr="00994CE4">
          <w:rPr>
            <w:rStyle w:val="ae"/>
            <w:b/>
            <w:noProof/>
          </w:rPr>
          <w:t>Признание и оценка дебиторской задолженности и предоплат</w:t>
        </w:r>
        <w:r w:rsidR="00DA47C9">
          <w:rPr>
            <w:noProof/>
            <w:webHidden/>
          </w:rPr>
          <w:tab/>
        </w:r>
        <w:r w:rsidR="00DA47C9">
          <w:rPr>
            <w:noProof/>
            <w:webHidden/>
          </w:rPr>
          <w:fldChar w:fldCharType="begin"/>
        </w:r>
        <w:r w:rsidR="00DA47C9">
          <w:rPr>
            <w:noProof/>
            <w:webHidden/>
          </w:rPr>
          <w:instrText xml:space="preserve"> PAGEREF _Toc122620529 \h </w:instrText>
        </w:r>
        <w:r w:rsidR="00DA47C9">
          <w:rPr>
            <w:noProof/>
            <w:webHidden/>
          </w:rPr>
        </w:r>
        <w:r w:rsidR="00DA47C9">
          <w:rPr>
            <w:noProof/>
            <w:webHidden/>
          </w:rPr>
          <w:fldChar w:fldCharType="separate"/>
        </w:r>
        <w:r w:rsidR="00DA47C9">
          <w:rPr>
            <w:noProof/>
            <w:webHidden/>
          </w:rPr>
          <w:t>11</w:t>
        </w:r>
        <w:r w:rsidR="00DA47C9">
          <w:rPr>
            <w:noProof/>
            <w:webHidden/>
          </w:rPr>
          <w:fldChar w:fldCharType="end"/>
        </w:r>
      </w:hyperlink>
    </w:p>
    <w:p w14:paraId="65563402" w14:textId="13E6FD34" w:rsidR="00DA47C9" w:rsidRDefault="00155587">
      <w:pPr>
        <w:pStyle w:val="23"/>
        <w:rPr>
          <w:rFonts w:asciiTheme="minorHAnsi" w:eastAsiaTheme="minorEastAsia" w:hAnsiTheme="minorHAnsi" w:cstheme="minorBidi"/>
          <w:noProof/>
          <w:sz w:val="22"/>
          <w:szCs w:val="22"/>
          <w:lang w:eastAsia="ru-RU"/>
        </w:rPr>
      </w:pPr>
      <w:hyperlink w:anchor="_Toc122620530" w:history="1">
        <w:r w:rsidR="00DA47C9" w:rsidRPr="00994CE4">
          <w:rPr>
            <w:rStyle w:val="ae"/>
            <w:b/>
            <w:noProof/>
          </w:rPr>
          <w:t>6.</w:t>
        </w:r>
        <w:r w:rsidR="00DA47C9">
          <w:rPr>
            <w:rFonts w:asciiTheme="minorHAnsi" w:eastAsiaTheme="minorEastAsia" w:hAnsiTheme="minorHAnsi" w:cstheme="minorBidi"/>
            <w:noProof/>
            <w:sz w:val="22"/>
            <w:szCs w:val="22"/>
            <w:lang w:eastAsia="ru-RU"/>
          </w:rPr>
          <w:tab/>
        </w:r>
        <w:r w:rsidR="00DA47C9" w:rsidRPr="00994CE4">
          <w:rPr>
            <w:rStyle w:val="ae"/>
            <w:b/>
            <w:noProof/>
          </w:rPr>
          <w:t>Признание и оценка недвижимого имущества</w:t>
        </w:r>
        <w:r w:rsidR="00DA47C9">
          <w:rPr>
            <w:noProof/>
            <w:webHidden/>
          </w:rPr>
          <w:tab/>
        </w:r>
        <w:r w:rsidR="00DA47C9">
          <w:rPr>
            <w:noProof/>
            <w:webHidden/>
          </w:rPr>
          <w:fldChar w:fldCharType="begin"/>
        </w:r>
        <w:r w:rsidR="00DA47C9">
          <w:rPr>
            <w:noProof/>
            <w:webHidden/>
          </w:rPr>
          <w:instrText xml:space="preserve"> PAGEREF _Toc122620530 \h </w:instrText>
        </w:r>
        <w:r w:rsidR="00DA47C9">
          <w:rPr>
            <w:noProof/>
            <w:webHidden/>
          </w:rPr>
        </w:r>
        <w:r w:rsidR="00DA47C9">
          <w:rPr>
            <w:noProof/>
            <w:webHidden/>
          </w:rPr>
          <w:fldChar w:fldCharType="separate"/>
        </w:r>
        <w:r w:rsidR="00DA47C9">
          <w:rPr>
            <w:noProof/>
            <w:webHidden/>
          </w:rPr>
          <w:t>14</w:t>
        </w:r>
        <w:r w:rsidR="00DA47C9">
          <w:rPr>
            <w:noProof/>
            <w:webHidden/>
          </w:rPr>
          <w:fldChar w:fldCharType="end"/>
        </w:r>
      </w:hyperlink>
    </w:p>
    <w:p w14:paraId="371623E5" w14:textId="6926EA27" w:rsidR="00DA47C9" w:rsidRDefault="00155587">
      <w:pPr>
        <w:pStyle w:val="23"/>
        <w:rPr>
          <w:rFonts w:asciiTheme="minorHAnsi" w:eastAsiaTheme="minorEastAsia" w:hAnsiTheme="minorHAnsi" w:cstheme="minorBidi"/>
          <w:noProof/>
          <w:sz w:val="22"/>
          <w:szCs w:val="22"/>
          <w:lang w:eastAsia="ru-RU"/>
        </w:rPr>
      </w:pPr>
      <w:hyperlink w:anchor="_Toc122620531" w:history="1">
        <w:r w:rsidR="00DA47C9" w:rsidRPr="00994CE4">
          <w:rPr>
            <w:rStyle w:val="ae"/>
            <w:b/>
            <w:noProof/>
          </w:rPr>
          <w:t>7.</w:t>
        </w:r>
        <w:r w:rsidR="00DA47C9">
          <w:rPr>
            <w:rFonts w:asciiTheme="minorHAnsi" w:eastAsiaTheme="minorEastAsia" w:hAnsiTheme="minorHAnsi" w:cstheme="minorBidi"/>
            <w:noProof/>
            <w:sz w:val="22"/>
            <w:szCs w:val="22"/>
            <w:lang w:eastAsia="ru-RU"/>
          </w:rPr>
          <w:tab/>
        </w:r>
        <w:r w:rsidR="00DA47C9" w:rsidRPr="00994CE4">
          <w:rPr>
            <w:rStyle w:val="ae"/>
            <w:b/>
            <w:noProof/>
          </w:rPr>
          <w:t>Признание и оценка договоров строительства и приобретения объектов недвижимого имущества</w:t>
        </w:r>
        <w:r w:rsidR="00DA47C9">
          <w:rPr>
            <w:noProof/>
            <w:webHidden/>
          </w:rPr>
          <w:tab/>
        </w:r>
        <w:r w:rsidR="00DA47C9">
          <w:rPr>
            <w:noProof/>
            <w:webHidden/>
          </w:rPr>
          <w:fldChar w:fldCharType="begin"/>
        </w:r>
        <w:r w:rsidR="00DA47C9">
          <w:rPr>
            <w:noProof/>
            <w:webHidden/>
          </w:rPr>
          <w:instrText xml:space="preserve"> PAGEREF _Toc122620531 \h </w:instrText>
        </w:r>
        <w:r w:rsidR="00DA47C9">
          <w:rPr>
            <w:noProof/>
            <w:webHidden/>
          </w:rPr>
        </w:r>
        <w:r w:rsidR="00DA47C9">
          <w:rPr>
            <w:noProof/>
            <w:webHidden/>
          </w:rPr>
          <w:fldChar w:fldCharType="separate"/>
        </w:r>
        <w:r w:rsidR="00DA47C9">
          <w:rPr>
            <w:noProof/>
            <w:webHidden/>
          </w:rPr>
          <w:t>15</w:t>
        </w:r>
        <w:r w:rsidR="00DA47C9">
          <w:rPr>
            <w:noProof/>
            <w:webHidden/>
          </w:rPr>
          <w:fldChar w:fldCharType="end"/>
        </w:r>
      </w:hyperlink>
    </w:p>
    <w:p w14:paraId="676BD9A3" w14:textId="1C1FAE06" w:rsidR="00DA47C9" w:rsidRDefault="00155587">
      <w:pPr>
        <w:pStyle w:val="23"/>
        <w:rPr>
          <w:rFonts w:asciiTheme="minorHAnsi" w:eastAsiaTheme="minorEastAsia" w:hAnsiTheme="minorHAnsi" w:cstheme="minorBidi"/>
          <w:noProof/>
          <w:sz w:val="22"/>
          <w:szCs w:val="22"/>
          <w:lang w:eastAsia="ru-RU"/>
        </w:rPr>
      </w:pPr>
      <w:hyperlink w:anchor="_Toc122620532" w:history="1">
        <w:r w:rsidR="00DA47C9" w:rsidRPr="00994CE4">
          <w:rPr>
            <w:rStyle w:val="ae"/>
            <w:b/>
            <w:noProof/>
          </w:rPr>
          <w:t>8.</w:t>
        </w:r>
        <w:r w:rsidR="00DA47C9">
          <w:rPr>
            <w:rFonts w:asciiTheme="minorHAnsi" w:eastAsiaTheme="minorEastAsia" w:hAnsiTheme="minorHAnsi" w:cstheme="minorBidi"/>
            <w:noProof/>
            <w:sz w:val="22"/>
            <w:szCs w:val="22"/>
            <w:lang w:eastAsia="ru-RU"/>
          </w:rPr>
          <w:tab/>
        </w:r>
        <w:r w:rsidR="00DA47C9" w:rsidRPr="00994CE4">
          <w:rPr>
            <w:rStyle w:val="ae"/>
            <w:b/>
            <w:noProof/>
          </w:rPr>
          <w:t>Признание и оценка кредиторской задолженности</w:t>
        </w:r>
        <w:r w:rsidR="00DA47C9">
          <w:rPr>
            <w:noProof/>
            <w:webHidden/>
          </w:rPr>
          <w:tab/>
        </w:r>
        <w:r w:rsidR="00DA47C9">
          <w:rPr>
            <w:noProof/>
            <w:webHidden/>
          </w:rPr>
          <w:fldChar w:fldCharType="begin"/>
        </w:r>
        <w:r w:rsidR="00DA47C9">
          <w:rPr>
            <w:noProof/>
            <w:webHidden/>
          </w:rPr>
          <w:instrText xml:space="preserve"> PAGEREF _Toc122620532 \h </w:instrText>
        </w:r>
        <w:r w:rsidR="00DA47C9">
          <w:rPr>
            <w:noProof/>
            <w:webHidden/>
          </w:rPr>
        </w:r>
        <w:r w:rsidR="00DA47C9">
          <w:rPr>
            <w:noProof/>
            <w:webHidden/>
          </w:rPr>
          <w:fldChar w:fldCharType="separate"/>
        </w:r>
        <w:r w:rsidR="00DA47C9">
          <w:rPr>
            <w:noProof/>
            <w:webHidden/>
          </w:rPr>
          <w:t>15</w:t>
        </w:r>
        <w:r w:rsidR="00DA47C9">
          <w:rPr>
            <w:noProof/>
            <w:webHidden/>
          </w:rPr>
          <w:fldChar w:fldCharType="end"/>
        </w:r>
      </w:hyperlink>
    </w:p>
    <w:p w14:paraId="2F892D10" w14:textId="40E831C3" w:rsidR="00DA47C9" w:rsidRDefault="00155587">
      <w:pPr>
        <w:pStyle w:val="13"/>
        <w:rPr>
          <w:rFonts w:asciiTheme="minorHAnsi" w:eastAsiaTheme="minorEastAsia" w:hAnsiTheme="minorHAnsi" w:cstheme="minorBidi"/>
          <w:noProof/>
          <w:sz w:val="22"/>
          <w:szCs w:val="22"/>
          <w:lang w:eastAsia="ru-RU"/>
        </w:rPr>
      </w:pPr>
      <w:hyperlink w:anchor="_Toc122620533" w:history="1">
        <w:r w:rsidR="00DA47C9" w:rsidRPr="00994CE4">
          <w:rPr>
            <w:rStyle w:val="ae"/>
            <w:b/>
            <w:noProof/>
          </w:rPr>
          <w:t>IV.</w:t>
        </w:r>
        <w:r w:rsidR="00DA47C9">
          <w:rPr>
            <w:rFonts w:asciiTheme="minorHAnsi" w:eastAsiaTheme="minorEastAsia" w:hAnsiTheme="minorHAnsi" w:cstheme="minorBidi"/>
            <w:noProof/>
            <w:sz w:val="22"/>
            <w:szCs w:val="22"/>
            <w:lang w:eastAsia="ru-RU"/>
          </w:rPr>
          <w:tab/>
        </w:r>
        <w:r w:rsidR="00DA47C9" w:rsidRPr="00994CE4">
          <w:rPr>
            <w:rStyle w:val="ae"/>
            <w:b/>
            <w:noProof/>
          </w:rPr>
          <w:t>Определение рублевого эквивалента справедливой стоимости, определенной в валюте.</w:t>
        </w:r>
        <w:r w:rsidR="00DA47C9">
          <w:rPr>
            <w:noProof/>
            <w:webHidden/>
          </w:rPr>
          <w:tab/>
        </w:r>
        <w:r w:rsidR="00DA47C9">
          <w:rPr>
            <w:noProof/>
            <w:webHidden/>
          </w:rPr>
          <w:fldChar w:fldCharType="begin"/>
        </w:r>
        <w:r w:rsidR="00DA47C9">
          <w:rPr>
            <w:noProof/>
            <w:webHidden/>
          </w:rPr>
          <w:instrText xml:space="preserve"> PAGEREF _Toc122620533 \h </w:instrText>
        </w:r>
        <w:r w:rsidR="00DA47C9">
          <w:rPr>
            <w:noProof/>
            <w:webHidden/>
          </w:rPr>
        </w:r>
        <w:r w:rsidR="00DA47C9">
          <w:rPr>
            <w:noProof/>
            <w:webHidden/>
          </w:rPr>
          <w:fldChar w:fldCharType="separate"/>
        </w:r>
        <w:r w:rsidR="00DA47C9">
          <w:rPr>
            <w:noProof/>
            <w:webHidden/>
          </w:rPr>
          <w:t>19</w:t>
        </w:r>
        <w:r w:rsidR="00DA47C9">
          <w:rPr>
            <w:noProof/>
            <w:webHidden/>
          </w:rPr>
          <w:fldChar w:fldCharType="end"/>
        </w:r>
      </w:hyperlink>
    </w:p>
    <w:p w14:paraId="3C929967" w14:textId="2674EBF7" w:rsidR="00DA47C9" w:rsidRDefault="00155587">
      <w:pPr>
        <w:pStyle w:val="13"/>
        <w:rPr>
          <w:rFonts w:asciiTheme="minorHAnsi" w:eastAsiaTheme="minorEastAsia" w:hAnsiTheme="minorHAnsi" w:cstheme="minorBidi"/>
          <w:noProof/>
          <w:sz w:val="22"/>
          <w:szCs w:val="22"/>
          <w:lang w:eastAsia="ru-RU"/>
        </w:rPr>
      </w:pPr>
      <w:hyperlink w:anchor="_Toc122620534" w:history="1">
        <w:r w:rsidR="00DA47C9" w:rsidRPr="00994CE4">
          <w:rPr>
            <w:rStyle w:val="ae"/>
            <w:b/>
            <w:noProof/>
          </w:rPr>
          <w:t>V.</w:t>
        </w:r>
        <w:r w:rsidR="00DA47C9">
          <w:rPr>
            <w:rFonts w:asciiTheme="minorHAnsi" w:eastAsiaTheme="minorEastAsia" w:hAnsiTheme="minorHAnsi" w:cstheme="minorBidi"/>
            <w:noProof/>
            <w:sz w:val="22"/>
            <w:szCs w:val="22"/>
            <w:lang w:eastAsia="ru-RU"/>
          </w:rPr>
          <w:tab/>
        </w:r>
        <w:r w:rsidR="00DA47C9" w:rsidRPr="00994CE4">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DA47C9">
          <w:rPr>
            <w:noProof/>
            <w:webHidden/>
          </w:rPr>
          <w:tab/>
        </w:r>
        <w:r w:rsidR="00DA47C9">
          <w:rPr>
            <w:noProof/>
            <w:webHidden/>
          </w:rPr>
          <w:fldChar w:fldCharType="begin"/>
        </w:r>
        <w:r w:rsidR="00DA47C9">
          <w:rPr>
            <w:noProof/>
            <w:webHidden/>
          </w:rPr>
          <w:instrText xml:space="preserve"> PAGEREF _Toc122620534 \h </w:instrText>
        </w:r>
        <w:r w:rsidR="00DA47C9">
          <w:rPr>
            <w:noProof/>
            <w:webHidden/>
          </w:rPr>
        </w:r>
        <w:r w:rsidR="00DA47C9">
          <w:rPr>
            <w:noProof/>
            <w:webHidden/>
          </w:rPr>
          <w:fldChar w:fldCharType="separate"/>
        </w:r>
        <w:r w:rsidR="00DA47C9">
          <w:rPr>
            <w:noProof/>
            <w:webHidden/>
          </w:rPr>
          <w:t>20</w:t>
        </w:r>
        <w:r w:rsidR="00DA47C9">
          <w:rPr>
            <w:noProof/>
            <w:webHidden/>
          </w:rPr>
          <w:fldChar w:fldCharType="end"/>
        </w:r>
      </w:hyperlink>
    </w:p>
    <w:p w14:paraId="5F13CF0C" w14:textId="3B1D216D" w:rsidR="00DA47C9" w:rsidRDefault="00155587">
      <w:pPr>
        <w:pStyle w:val="13"/>
        <w:rPr>
          <w:rFonts w:asciiTheme="minorHAnsi" w:eastAsiaTheme="minorEastAsia" w:hAnsiTheme="minorHAnsi" w:cstheme="minorBidi"/>
          <w:noProof/>
          <w:sz w:val="22"/>
          <w:szCs w:val="22"/>
          <w:lang w:eastAsia="ru-RU"/>
        </w:rPr>
      </w:pPr>
      <w:hyperlink w:anchor="_Toc122620535" w:history="1">
        <w:r w:rsidR="00DA47C9" w:rsidRPr="00994CE4">
          <w:rPr>
            <w:rStyle w:val="ae"/>
            <w:b/>
            <w:noProof/>
          </w:rPr>
          <w:t>VI.</w:t>
        </w:r>
        <w:r w:rsidR="00DA47C9">
          <w:rPr>
            <w:rFonts w:asciiTheme="minorHAnsi" w:eastAsiaTheme="minorEastAsia" w:hAnsiTheme="minorHAnsi" w:cstheme="minorBidi"/>
            <w:noProof/>
            <w:sz w:val="22"/>
            <w:szCs w:val="22"/>
            <w:lang w:eastAsia="ru-RU"/>
          </w:rPr>
          <w:tab/>
        </w:r>
        <w:r w:rsidR="00DA47C9" w:rsidRPr="00994CE4">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DA47C9">
          <w:rPr>
            <w:noProof/>
            <w:webHidden/>
          </w:rPr>
          <w:tab/>
        </w:r>
        <w:r w:rsidR="00DA47C9">
          <w:rPr>
            <w:noProof/>
            <w:webHidden/>
          </w:rPr>
          <w:fldChar w:fldCharType="begin"/>
        </w:r>
        <w:r w:rsidR="00DA47C9">
          <w:rPr>
            <w:noProof/>
            <w:webHidden/>
          </w:rPr>
          <w:instrText xml:space="preserve"> PAGEREF _Toc122620535 \h </w:instrText>
        </w:r>
        <w:r w:rsidR="00DA47C9">
          <w:rPr>
            <w:noProof/>
            <w:webHidden/>
          </w:rPr>
        </w:r>
        <w:r w:rsidR="00DA47C9">
          <w:rPr>
            <w:noProof/>
            <w:webHidden/>
          </w:rPr>
          <w:fldChar w:fldCharType="separate"/>
        </w:r>
        <w:r w:rsidR="00DA47C9">
          <w:rPr>
            <w:noProof/>
            <w:webHidden/>
          </w:rPr>
          <w:t>22</w:t>
        </w:r>
        <w:r w:rsidR="00DA47C9">
          <w:rPr>
            <w:noProof/>
            <w:webHidden/>
          </w:rPr>
          <w:fldChar w:fldCharType="end"/>
        </w:r>
      </w:hyperlink>
    </w:p>
    <w:p w14:paraId="15FAD5E8" w14:textId="5557C610" w:rsidR="00DA47C9" w:rsidRDefault="00155587">
      <w:pPr>
        <w:pStyle w:val="13"/>
        <w:rPr>
          <w:rFonts w:asciiTheme="minorHAnsi" w:eastAsiaTheme="minorEastAsia" w:hAnsiTheme="minorHAnsi" w:cstheme="minorBidi"/>
          <w:noProof/>
          <w:sz w:val="22"/>
          <w:szCs w:val="22"/>
          <w:lang w:eastAsia="ru-RU"/>
        </w:rPr>
      </w:pPr>
      <w:hyperlink w:anchor="_Toc122620536" w:history="1">
        <w:r w:rsidR="00DA47C9" w:rsidRPr="00994CE4">
          <w:rPr>
            <w:rStyle w:val="ae"/>
            <w:b/>
            <w:noProof/>
          </w:rPr>
          <w:t>Приложение 1. Используемая терминология</w:t>
        </w:r>
        <w:r w:rsidR="00DA47C9">
          <w:rPr>
            <w:noProof/>
            <w:webHidden/>
          </w:rPr>
          <w:tab/>
        </w:r>
        <w:r w:rsidR="00DA47C9">
          <w:rPr>
            <w:noProof/>
            <w:webHidden/>
          </w:rPr>
          <w:fldChar w:fldCharType="begin"/>
        </w:r>
        <w:r w:rsidR="00DA47C9">
          <w:rPr>
            <w:noProof/>
            <w:webHidden/>
          </w:rPr>
          <w:instrText xml:space="preserve"> PAGEREF _Toc122620536 \h </w:instrText>
        </w:r>
        <w:r w:rsidR="00DA47C9">
          <w:rPr>
            <w:noProof/>
            <w:webHidden/>
          </w:rPr>
        </w:r>
        <w:r w:rsidR="00DA47C9">
          <w:rPr>
            <w:noProof/>
            <w:webHidden/>
          </w:rPr>
          <w:fldChar w:fldCharType="separate"/>
        </w:r>
        <w:r w:rsidR="00DA47C9">
          <w:rPr>
            <w:noProof/>
            <w:webHidden/>
          </w:rPr>
          <w:t>23</w:t>
        </w:r>
        <w:r w:rsidR="00DA47C9">
          <w:rPr>
            <w:noProof/>
            <w:webHidden/>
          </w:rPr>
          <w:fldChar w:fldCharType="end"/>
        </w:r>
      </w:hyperlink>
    </w:p>
    <w:p w14:paraId="52ECD0E4" w14:textId="3EBD1356" w:rsidR="00DA47C9" w:rsidRDefault="00155587">
      <w:pPr>
        <w:pStyle w:val="13"/>
        <w:rPr>
          <w:rFonts w:asciiTheme="minorHAnsi" w:eastAsiaTheme="minorEastAsia" w:hAnsiTheme="minorHAnsi" w:cstheme="minorBidi"/>
          <w:noProof/>
          <w:sz w:val="22"/>
          <w:szCs w:val="22"/>
          <w:lang w:eastAsia="ru-RU"/>
        </w:rPr>
      </w:pPr>
      <w:hyperlink w:anchor="_Toc122620537" w:history="1">
        <w:r w:rsidR="00DA47C9" w:rsidRPr="00994CE4">
          <w:rPr>
            <w:rStyle w:val="ae"/>
            <w:b/>
            <w:noProof/>
          </w:rPr>
          <w:t>Приложение 2. Методика оценки кредитного риска контрагента</w:t>
        </w:r>
        <w:r w:rsidR="00DA47C9">
          <w:rPr>
            <w:noProof/>
            <w:webHidden/>
          </w:rPr>
          <w:tab/>
        </w:r>
        <w:r w:rsidR="00DA47C9">
          <w:rPr>
            <w:noProof/>
            <w:webHidden/>
          </w:rPr>
          <w:fldChar w:fldCharType="begin"/>
        </w:r>
        <w:r w:rsidR="00DA47C9">
          <w:rPr>
            <w:noProof/>
            <w:webHidden/>
          </w:rPr>
          <w:instrText xml:space="preserve"> PAGEREF _Toc122620537 \h </w:instrText>
        </w:r>
        <w:r w:rsidR="00DA47C9">
          <w:rPr>
            <w:noProof/>
            <w:webHidden/>
          </w:rPr>
        </w:r>
        <w:r w:rsidR="00DA47C9">
          <w:rPr>
            <w:noProof/>
            <w:webHidden/>
          </w:rPr>
          <w:fldChar w:fldCharType="separate"/>
        </w:r>
        <w:r w:rsidR="00DA47C9">
          <w:rPr>
            <w:noProof/>
            <w:webHidden/>
          </w:rPr>
          <w:t>27</w:t>
        </w:r>
        <w:r w:rsidR="00DA47C9">
          <w:rPr>
            <w:noProof/>
            <w:webHidden/>
          </w:rPr>
          <w:fldChar w:fldCharType="end"/>
        </w:r>
      </w:hyperlink>
    </w:p>
    <w:p w14:paraId="621689BA" w14:textId="4C5446E7" w:rsidR="00DA47C9" w:rsidRDefault="00155587">
      <w:pPr>
        <w:pStyle w:val="13"/>
        <w:rPr>
          <w:rFonts w:asciiTheme="minorHAnsi" w:eastAsiaTheme="minorEastAsia" w:hAnsiTheme="minorHAnsi" w:cstheme="minorBidi"/>
          <w:noProof/>
          <w:sz w:val="22"/>
          <w:szCs w:val="22"/>
          <w:lang w:eastAsia="ru-RU"/>
        </w:rPr>
      </w:pPr>
      <w:hyperlink w:anchor="_Toc122620538" w:history="1">
        <w:r w:rsidR="00DA47C9" w:rsidRPr="00994CE4">
          <w:rPr>
            <w:rStyle w:val="ae"/>
            <w:b/>
            <w:noProof/>
          </w:rPr>
          <w:t>Приложение 3.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DA47C9">
          <w:rPr>
            <w:noProof/>
            <w:webHidden/>
          </w:rPr>
          <w:tab/>
        </w:r>
        <w:r w:rsidR="00DA47C9">
          <w:rPr>
            <w:noProof/>
            <w:webHidden/>
          </w:rPr>
          <w:fldChar w:fldCharType="begin"/>
        </w:r>
        <w:r w:rsidR="00DA47C9">
          <w:rPr>
            <w:noProof/>
            <w:webHidden/>
          </w:rPr>
          <w:instrText xml:space="preserve"> PAGEREF _Toc122620538 \h </w:instrText>
        </w:r>
        <w:r w:rsidR="00DA47C9">
          <w:rPr>
            <w:noProof/>
            <w:webHidden/>
          </w:rPr>
        </w:r>
        <w:r w:rsidR="00DA47C9">
          <w:rPr>
            <w:noProof/>
            <w:webHidden/>
          </w:rPr>
          <w:fldChar w:fldCharType="separate"/>
        </w:r>
        <w:r w:rsidR="00DA47C9">
          <w:rPr>
            <w:noProof/>
            <w:webHidden/>
          </w:rPr>
          <w:t>39</w:t>
        </w:r>
        <w:r w:rsidR="00DA47C9">
          <w:rPr>
            <w:noProof/>
            <w:webHidden/>
          </w:rPr>
          <w:fldChar w:fldCharType="end"/>
        </w:r>
      </w:hyperlink>
    </w:p>
    <w:p w14:paraId="15AE88AD" w14:textId="68D97EE7" w:rsidR="00DA47C9" w:rsidRDefault="00155587">
      <w:pPr>
        <w:pStyle w:val="13"/>
        <w:rPr>
          <w:rFonts w:asciiTheme="minorHAnsi" w:eastAsiaTheme="minorEastAsia" w:hAnsiTheme="minorHAnsi" w:cstheme="minorBidi"/>
          <w:noProof/>
          <w:sz w:val="22"/>
          <w:szCs w:val="22"/>
          <w:lang w:eastAsia="ru-RU"/>
        </w:rPr>
      </w:pPr>
      <w:hyperlink w:anchor="_Toc122620539" w:history="1">
        <w:r w:rsidR="00DA47C9" w:rsidRPr="00994CE4">
          <w:rPr>
            <w:rStyle w:val="ae"/>
            <w:b/>
            <w:noProof/>
          </w:rPr>
          <w:t>Приложение 4. Перечень активов, оцениваемых по отчету оценщика</w:t>
        </w:r>
        <w:r w:rsidR="00DA47C9">
          <w:rPr>
            <w:noProof/>
            <w:webHidden/>
          </w:rPr>
          <w:tab/>
        </w:r>
        <w:r w:rsidR="00DA47C9">
          <w:rPr>
            <w:noProof/>
            <w:webHidden/>
          </w:rPr>
          <w:fldChar w:fldCharType="begin"/>
        </w:r>
        <w:r w:rsidR="00DA47C9">
          <w:rPr>
            <w:noProof/>
            <w:webHidden/>
          </w:rPr>
          <w:instrText xml:space="preserve"> PAGEREF _Toc122620539 \h </w:instrText>
        </w:r>
        <w:r w:rsidR="00DA47C9">
          <w:rPr>
            <w:noProof/>
            <w:webHidden/>
          </w:rPr>
        </w:r>
        <w:r w:rsidR="00DA47C9">
          <w:rPr>
            <w:noProof/>
            <w:webHidden/>
          </w:rPr>
          <w:fldChar w:fldCharType="separate"/>
        </w:r>
        <w:r w:rsidR="00DA47C9">
          <w:rPr>
            <w:noProof/>
            <w:webHidden/>
          </w:rPr>
          <w:t>41</w:t>
        </w:r>
        <w:r w:rsidR="00DA47C9">
          <w:rPr>
            <w:noProof/>
            <w:webHidden/>
          </w:rPr>
          <w:fldChar w:fldCharType="end"/>
        </w:r>
      </w:hyperlink>
    </w:p>
    <w:p w14:paraId="63BE2219" w14:textId="70CD2B43" w:rsidR="00DA47C9" w:rsidRDefault="00155587">
      <w:pPr>
        <w:pStyle w:val="13"/>
        <w:rPr>
          <w:rStyle w:val="ae"/>
          <w:noProof/>
        </w:rPr>
      </w:pPr>
      <w:hyperlink w:anchor="_Toc122620540" w:history="1">
        <w:r w:rsidR="00DA47C9" w:rsidRPr="00994CE4">
          <w:rPr>
            <w:rStyle w:val="ae"/>
            <w:b/>
            <w:noProof/>
          </w:rPr>
          <w:t>Приложение 5. Условия оценки справедливой стоимости в период сложившейся кризисной ситуации на финансовом рынке</w:t>
        </w:r>
        <w:r w:rsidR="00DA47C9">
          <w:rPr>
            <w:noProof/>
            <w:webHidden/>
          </w:rPr>
          <w:tab/>
        </w:r>
        <w:r w:rsidR="00DA47C9">
          <w:rPr>
            <w:noProof/>
            <w:webHidden/>
          </w:rPr>
          <w:fldChar w:fldCharType="begin"/>
        </w:r>
        <w:r w:rsidR="00DA47C9">
          <w:rPr>
            <w:noProof/>
            <w:webHidden/>
          </w:rPr>
          <w:instrText xml:space="preserve"> PAGEREF _Toc122620540 \h </w:instrText>
        </w:r>
        <w:r w:rsidR="00DA47C9">
          <w:rPr>
            <w:noProof/>
            <w:webHidden/>
          </w:rPr>
        </w:r>
        <w:r w:rsidR="00DA47C9">
          <w:rPr>
            <w:noProof/>
            <w:webHidden/>
          </w:rPr>
          <w:fldChar w:fldCharType="separate"/>
        </w:r>
        <w:r w:rsidR="00DA47C9">
          <w:rPr>
            <w:noProof/>
            <w:webHidden/>
          </w:rPr>
          <w:t>42</w:t>
        </w:r>
        <w:r w:rsidR="00DA47C9">
          <w:rPr>
            <w:noProof/>
            <w:webHidden/>
          </w:rPr>
          <w:fldChar w:fldCharType="end"/>
        </w:r>
      </w:hyperlink>
    </w:p>
    <w:p w14:paraId="76B46553" w14:textId="77777777" w:rsidR="00DA47C9" w:rsidRDefault="00DA47C9">
      <w:pPr>
        <w:jc w:val="left"/>
        <w:rPr>
          <w:rStyle w:val="ae"/>
          <w:noProof/>
        </w:rPr>
      </w:pPr>
      <w:r>
        <w:rPr>
          <w:rStyle w:val="ae"/>
          <w:noProof/>
        </w:rPr>
        <w:br w:type="page"/>
      </w:r>
    </w:p>
    <w:p w14:paraId="58A2884C" w14:textId="393A78BD"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1" w:name="_Toc5358915"/>
      <w:bookmarkStart w:id="2" w:name="_Toc5358916"/>
      <w:bookmarkStart w:id="3" w:name="_Toc1731774"/>
      <w:bookmarkStart w:id="4" w:name="_Toc122620522"/>
      <w:bookmarkEnd w:id="1"/>
      <w:bookmarkEnd w:id="2"/>
      <w:r w:rsidR="008778C9" w:rsidRPr="004376E4">
        <w:rPr>
          <w:rFonts w:ascii="Times New Roman" w:hAnsi="Times New Roman"/>
          <w:b/>
          <w:color w:val="auto"/>
          <w:sz w:val="24"/>
          <w:szCs w:val="24"/>
        </w:rPr>
        <w:t>Общие положения</w:t>
      </w:r>
      <w:bookmarkEnd w:id="3"/>
      <w:bookmarkEnd w:id="4"/>
    </w:p>
    <w:p w14:paraId="6E53B6C1" w14:textId="0E5C4F82"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7958E3" w:rsidRPr="007958E3">
        <w:t>Закрытого рентного паевого инвестиционного фонда «</w:t>
      </w:r>
      <w:proofErr w:type="spellStart"/>
      <w:r w:rsidR="007958E3" w:rsidRPr="007958E3">
        <w:t>Активо</w:t>
      </w:r>
      <w:proofErr w:type="spellEnd"/>
      <w:r w:rsidR="007958E3" w:rsidRPr="007958E3">
        <w:t xml:space="preserve"> один»</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6A73A50E"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272E13">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5" w:name="_Toc1731775"/>
      <w:bookmarkStart w:id="6" w:name="_Toc122620523"/>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5"/>
      <w:bookmarkEnd w:id="6"/>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65FAB0D" w14:textId="77777777" w:rsidR="00CE79F5" w:rsidRPr="006527B0" w:rsidRDefault="00CE79F5" w:rsidP="00CE79F5">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0F31F010" w14:textId="77777777" w:rsidR="00CE79F5" w:rsidRPr="006527B0" w:rsidRDefault="00CE79F5" w:rsidP="00CE79F5">
      <w:pPr>
        <w:pStyle w:val="a4"/>
        <w:numPr>
          <w:ilvl w:val="1"/>
          <w:numId w:val="6"/>
        </w:numPr>
      </w:pPr>
      <w:r w:rsidRPr="006527B0">
        <w:t>на последний рабочий день срока приема заявок, погашение инвестиционных паев;</w:t>
      </w:r>
    </w:p>
    <w:p w14:paraId="09D33D3A" w14:textId="77777777" w:rsidR="00CE79F5" w:rsidRPr="006527B0" w:rsidRDefault="00CE79F5" w:rsidP="00CE79F5">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7" w:name="_Toc1731776"/>
      <w:bookmarkStart w:id="8" w:name="_Toc122620524"/>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7"/>
      <w:bookmarkEnd w:id="8"/>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9" w:name="_Toc1731777"/>
      <w:bookmarkStart w:id="10" w:name="_Toc122620525"/>
      <w:r w:rsidRPr="006527B0">
        <w:rPr>
          <w:rFonts w:ascii="Times New Roman" w:hAnsi="Times New Roman"/>
          <w:b/>
          <w:color w:val="auto"/>
          <w:sz w:val="24"/>
          <w:szCs w:val="24"/>
        </w:rPr>
        <w:t>Общие положения</w:t>
      </w:r>
      <w:bookmarkEnd w:id="9"/>
      <w:bookmarkEnd w:id="10"/>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1" w:name="_Toc1731778"/>
      <w:bookmarkStart w:id="12" w:name="_Toc122620526"/>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1"/>
      <w:bookmarkEnd w:id="12"/>
    </w:p>
    <w:p w14:paraId="593CF584" w14:textId="77777777" w:rsidR="001526A4" w:rsidRPr="006527B0" w:rsidRDefault="00867682" w:rsidP="008F385E">
      <w:pPr>
        <w:widowControl w:val="0"/>
        <w:ind w:firstLine="709"/>
      </w:pPr>
      <w:bookmarkStart w:id="13"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32A55A8"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w:t>
      </w:r>
      <w:r w:rsidR="00A12DAB">
        <w:t>2</w:t>
      </w:r>
      <w:r w:rsidRPr="006527B0">
        <w:t>;</w:t>
      </w:r>
    </w:p>
    <w:p w14:paraId="312EA063" w14:textId="3B7A934E"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w:t>
      </w:r>
      <w:r w:rsidR="00A12DAB">
        <w:t>Приложении 2</w:t>
      </w:r>
      <w:r w:rsidR="002F2A06" w:rsidRPr="006527B0">
        <w:t>)</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44FB343" w:rsidR="0091516A" w:rsidRPr="006527B0" w:rsidRDefault="008A52B2" w:rsidP="008F385E">
      <w:pPr>
        <w:widowControl w:val="0"/>
        <w:ind w:firstLine="709"/>
      </w:pPr>
      <w:r w:rsidRPr="006527B0">
        <w:t>М</w:t>
      </w:r>
      <w:r w:rsidR="001526A4" w:rsidRPr="006527B0">
        <w:t xml:space="preserve">етодика оценки кредитного риска контрагента и корректировки справедливой стоимости активов на кредитный риск контрагента (далее – методика) приведена в </w:t>
      </w:r>
      <w:r w:rsidR="00A12DAB">
        <w:t>Приложении 2</w:t>
      </w:r>
      <w:r w:rsidR="001526A4" w:rsidRPr="006527B0">
        <w:t xml:space="preserve">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11A336AE"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w:t>
      </w:r>
      <w:r w:rsidR="00A12DAB">
        <w:t>Приложении 2</w:t>
      </w:r>
      <w:r w:rsidR="00DC4E30" w:rsidRPr="006527B0">
        <w:t xml:space="preserve">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w:t>
      </w:r>
      <w:r w:rsidR="00D77760" w:rsidRPr="006527B0">
        <w:rPr>
          <w:rFonts w:cs="Arial"/>
        </w:rPr>
        <w:lastRenderedPageBreak/>
        <w:t>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w:t>
      </w:r>
      <w:r w:rsidRPr="006527B0">
        <w:rPr>
          <w:lang w:val="ru-RU"/>
        </w:rPr>
        <w:lastRenderedPageBreak/>
        <w:t xml:space="preserve">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47B81794"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w:t>
      </w:r>
      <w:r w:rsidR="00A12DAB">
        <w:rPr>
          <w:rFonts w:cs="Arial"/>
          <w:lang w:val="ru-RU"/>
        </w:rPr>
        <w:t>2</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proofErr w:type="spellStart"/>
        <w:r w:rsidR="00E100C4" w:rsidRPr="00385973">
          <w:rPr>
            <w:rStyle w:val="ae"/>
            <w:lang w:val="en-GB"/>
          </w:rPr>
          <w:t>bo</w:t>
        </w:r>
        <w:proofErr w:type="spellEnd"/>
        <w:r w:rsidR="00E100C4" w:rsidRPr="008E5199">
          <w:rPr>
            <w:rStyle w:val="ae"/>
          </w:rPr>
          <w:t>.</w:t>
        </w:r>
        <w:proofErr w:type="spellStart"/>
        <w:r w:rsidR="00E100C4" w:rsidRPr="00385973">
          <w:rPr>
            <w:rStyle w:val="ae"/>
            <w:lang w:val="en-GB"/>
          </w:rPr>
          <w:t>nalog</w:t>
        </w:r>
        <w:proofErr w:type="spellEnd"/>
        <w:r w:rsidR="00E100C4" w:rsidRPr="008E5199">
          <w:rPr>
            <w:rStyle w:val="ae"/>
          </w:rPr>
          <w:t>.</w:t>
        </w:r>
        <w:proofErr w:type="spellStart"/>
        <w:r w:rsidR="00E100C4" w:rsidRPr="00385973">
          <w:rPr>
            <w:rStyle w:val="ae"/>
            <w:lang w:val="en-GB"/>
          </w:rPr>
          <w:t>ru</w:t>
        </w:r>
        <w:proofErr w:type="spellEnd"/>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5F1CBDA5"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w:t>
      </w:r>
      <w:r w:rsidR="00A12DAB">
        <w:t>Приложении 2</w:t>
      </w:r>
      <w:r w:rsidR="00DC4E30" w:rsidRPr="006527B0">
        <w:t xml:space="preserve"> к настоящим Правилам;</w:t>
      </w:r>
    </w:p>
    <w:p w14:paraId="22ED469A" w14:textId="784E81B0"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w:t>
      </w:r>
      <w:r w:rsidR="00A12DAB">
        <w:t>Приложении 2</w:t>
      </w:r>
      <w:r w:rsidR="004660D3" w:rsidRPr="006527B0">
        <w:t xml:space="preserve">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3DAA8354" w14:textId="77777777" w:rsidR="00DA47C9" w:rsidRPr="006527B0" w:rsidRDefault="00DA47C9" w:rsidP="00DA47C9">
      <w:pPr>
        <w:pStyle w:val="20"/>
        <w:keepNext w:val="0"/>
        <w:keepLines w:val="0"/>
        <w:widowControl w:val="0"/>
        <w:numPr>
          <w:ilvl w:val="0"/>
          <w:numId w:val="7"/>
        </w:numPr>
        <w:spacing w:before="0"/>
        <w:rPr>
          <w:rFonts w:ascii="Times New Roman" w:hAnsi="Times New Roman"/>
          <w:b/>
          <w:color w:val="auto"/>
          <w:sz w:val="24"/>
          <w:szCs w:val="24"/>
        </w:rPr>
      </w:pPr>
      <w:bookmarkStart w:id="14" w:name="_Toc1731779"/>
      <w:bookmarkStart w:id="15" w:name="_Toc100860584"/>
      <w:bookmarkStart w:id="16" w:name="_Toc122620527"/>
      <w:bookmarkEnd w:id="0"/>
      <w:bookmarkEnd w:id="13"/>
      <w:r w:rsidRPr="006527B0">
        <w:rPr>
          <w:rFonts w:ascii="Times New Roman" w:hAnsi="Times New Roman"/>
          <w:b/>
          <w:color w:val="auto"/>
          <w:sz w:val="24"/>
          <w:szCs w:val="24"/>
        </w:rPr>
        <w:t>Признание и оценка денежных средств</w:t>
      </w:r>
      <w:bookmarkEnd w:id="14"/>
      <w:bookmarkEnd w:id="15"/>
      <w:bookmarkEnd w:id="16"/>
    </w:p>
    <w:p w14:paraId="517CFB71" w14:textId="77777777" w:rsidR="00DA47C9" w:rsidRPr="00CD3EB0" w:rsidRDefault="00DA47C9" w:rsidP="00DA47C9">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 xml:space="preserve">), </w:t>
      </w:r>
      <w:r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42C6F44B" w14:textId="77777777" w:rsidR="00DA47C9" w:rsidRPr="00CD3EB0" w:rsidRDefault="00DA47C9" w:rsidP="00DA47C9">
      <w:pPr>
        <w:widowControl w:val="0"/>
        <w:ind w:firstLine="709"/>
      </w:pPr>
    </w:p>
    <w:p w14:paraId="6596BDB5" w14:textId="77777777" w:rsidR="00DA47C9" w:rsidRDefault="00DA47C9" w:rsidP="00DA47C9">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t xml:space="preserve"> </w:t>
      </w:r>
      <w:r w:rsidRPr="001B2293">
        <w:t xml:space="preserve">и на счете </w:t>
      </w:r>
      <w:proofErr w:type="spellStart"/>
      <w:r w:rsidRPr="001B2293">
        <w:t>эскроу</w:t>
      </w:r>
      <w:proofErr w:type="spellEnd"/>
      <w:r w:rsidRPr="006527B0">
        <w:t>, оцениваются в номинальной сумме.</w:t>
      </w:r>
    </w:p>
    <w:p w14:paraId="62F8A823" w14:textId="77777777" w:rsidR="00DA47C9" w:rsidRDefault="00DA47C9" w:rsidP="00DA47C9">
      <w:pPr>
        <w:widowControl w:val="0"/>
        <w:ind w:firstLine="709"/>
      </w:pPr>
      <w:r w:rsidRPr="001B2293">
        <w:t xml:space="preserve">Денежные средства на счете </w:t>
      </w:r>
      <w:proofErr w:type="spellStart"/>
      <w:r w:rsidRPr="001B2293">
        <w:t>эскроу</w:t>
      </w:r>
      <w:proofErr w:type="spellEnd"/>
      <w:r w:rsidRPr="001B2293">
        <w:t xml:space="preserve"> признаются с даты подтверждения факта зачисления на счет </w:t>
      </w:r>
      <w:proofErr w:type="spellStart"/>
      <w:r w:rsidRPr="001B2293">
        <w:t>эскроу</w:t>
      </w:r>
      <w:proofErr w:type="spellEnd"/>
      <w:r w:rsidRPr="001B2293">
        <w:t xml:space="preserve"> и только в том случае, если после зачисления средств на счет </w:t>
      </w:r>
      <w:proofErr w:type="spellStart"/>
      <w:r w:rsidRPr="001B2293">
        <w:t>эскроу</w:t>
      </w:r>
      <w:proofErr w:type="spellEnd"/>
      <w:r w:rsidRPr="001B2293">
        <w:t xml:space="preserve"> ПИФ сохраняет обязательства по оплате, согласно условиям договора. Если условия расчетов по договору предполагают, что зачисление на счет </w:t>
      </w:r>
      <w:proofErr w:type="spellStart"/>
      <w:r w:rsidRPr="001B2293">
        <w:t>эскроу</w:t>
      </w:r>
      <w:proofErr w:type="spellEnd"/>
      <w:r w:rsidRPr="001B2293">
        <w:t xml:space="preserve"> является фактом оплаты, то денежные средства на счете </w:t>
      </w:r>
      <w:proofErr w:type="spellStart"/>
      <w:r w:rsidRPr="001B2293">
        <w:t>эскроу</w:t>
      </w:r>
      <w:proofErr w:type="spellEnd"/>
      <w:r w:rsidRPr="001B2293">
        <w:t xml:space="preserve"> не признаются.</w:t>
      </w:r>
    </w:p>
    <w:p w14:paraId="78572951" w14:textId="77777777" w:rsidR="00DA47C9" w:rsidRPr="006527B0" w:rsidRDefault="00DA47C9" w:rsidP="00DA47C9">
      <w:pPr>
        <w:widowControl w:val="0"/>
        <w:ind w:firstLine="709"/>
      </w:pPr>
    </w:p>
    <w:p w14:paraId="42D90A20" w14:textId="77777777" w:rsidR="00DA47C9" w:rsidRPr="006527B0" w:rsidRDefault="00DA47C9" w:rsidP="00DA47C9">
      <w:pPr>
        <w:widowControl w:val="0"/>
        <w:ind w:firstLine="709"/>
      </w:pPr>
      <w:r w:rsidRPr="006527B0">
        <w:rPr>
          <w:b/>
        </w:rPr>
        <w:t>Прекращение признания</w:t>
      </w:r>
      <w:r w:rsidRPr="006527B0">
        <w:t xml:space="preserve"> денежных средств происходит в следующие даты:</w:t>
      </w:r>
    </w:p>
    <w:p w14:paraId="1B6657A7" w14:textId="77777777" w:rsidR="00DA47C9" w:rsidRPr="006527B0" w:rsidRDefault="00DA47C9" w:rsidP="00DA47C9">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403D55F8" w14:textId="77777777" w:rsidR="00DA47C9" w:rsidRPr="006527B0" w:rsidRDefault="00DA47C9" w:rsidP="00DA47C9">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0C17DCB2" w14:textId="77777777" w:rsidR="00DA47C9" w:rsidRDefault="00DA47C9" w:rsidP="00DA47C9">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t>;</w:t>
      </w:r>
    </w:p>
    <w:p w14:paraId="0A7A44BA" w14:textId="77777777" w:rsidR="00DA47C9" w:rsidRPr="006527B0" w:rsidRDefault="00DA47C9" w:rsidP="00DA47C9">
      <w:pPr>
        <w:pStyle w:val="a4"/>
        <w:widowControl w:val="0"/>
        <w:numPr>
          <w:ilvl w:val="0"/>
          <w:numId w:val="87"/>
        </w:numPr>
        <w:ind w:left="0" w:firstLine="709"/>
      </w:pPr>
      <w:r w:rsidRPr="001B2293">
        <w:t xml:space="preserve">дополнительно по счету </w:t>
      </w:r>
      <w:proofErr w:type="spellStart"/>
      <w:r w:rsidRPr="001B2293">
        <w:t>эскроу</w:t>
      </w:r>
      <w:proofErr w:type="spellEnd"/>
      <w:r w:rsidRPr="001B2293">
        <w:t xml:space="preserve"> – дата, в которую обязательства ПИФ по оплате с использованием счета </w:t>
      </w:r>
      <w:proofErr w:type="spellStart"/>
      <w:r w:rsidRPr="001B2293">
        <w:t>эскроу</w:t>
      </w:r>
      <w:proofErr w:type="spellEnd"/>
      <w:r w:rsidRPr="001B2293">
        <w:t>, согласно условиям договора, считаются исполненными.</w:t>
      </w:r>
    </w:p>
    <w:p w14:paraId="0FAB3F8E" w14:textId="77777777" w:rsidR="00DA47C9" w:rsidRPr="006527B0" w:rsidRDefault="00DA47C9" w:rsidP="00DA47C9">
      <w:pPr>
        <w:widowControl w:val="0"/>
        <w:ind w:firstLine="709"/>
      </w:pPr>
      <w:r w:rsidRPr="006527B0">
        <w:t xml:space="preserve">Денежные средства, перечисленные на брокерский счет, в отношении которых на дату </w:t>
      </w:r>
      <w:r w:rsidRPr="006527B0">
        <w:lastRenderedPageBreak/>
        <w:t>оценки не получен отчет брокера, подтверждающий получение перечисленных денежных средств брокером; а также 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 признаются в качестве переводов в пути (в составе дебиторской задолженности) и оцениваются в сумме перечисленных средств.</w:t>
      </w:r>
    </w:p>
    <w:p w14:paraId="55E4EFF2" w14:textId="1A2F4014" w:rsidR="00DF70FC" w:rsidRDefault="00DA47C9" w:rsidP="00DA47C9">
      <w:pPr>
        <w:pStyle w:val="a4"/>
        <w:widowControl w:val="0"/>
        <w:ind w:left="1429"/>
      </w:pPr>
      <w:r w:rsidRPr="006527B0">
        <w:t>При переводе денежных средств между счетами, в случае возникновения временного разрыва между датой списания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 (трех) рабочих дней с момента ее возникновения. Превышение указанных сроков по независящим от Управляющей компании причинам, а также возникновение иных событий по обесценению ведет к необходимости корректировки справедливой стоимости активов в соответствии с методами корректировки справедливой стоимости, применяемыми для дебиторской задолженности в соответствии с порядком, указанным в пункте 2 раздела III настоящих Правил и в Приложении 4.</w:t>
      </w:r>
    </w:p>
    <w:p w14:paraId="21BA03D4" w14:textId="77777777" w:rsidR="00DA47C9" w:rsidRPr="006527B0" w:rsidRDefault="00DA47C9" w:rsidP="00DA47C9">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620528"/>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155587"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155587"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lastRenderedPageBreak/>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155587"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155587"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155587"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proofErr w:type="spellStart"/>
      <w:r w:rsidR="005E4963" w:rsidRPr="006527B0">
        <w:rPr>
          <w:i/>
          <w:iCs/>
          <w:lang w:val="en-US"/>
        </w:rPr>
        <w:t>i</w:t>
      </w:r>
      <w:proofErr w:type="spellEnd"/>
      <w:r w:rsidR="005E4963" w:rsidRPr="006527B0">
        <w:t>-ом периоде календарного месяца,</w:t>
      </w:r>
    </w:p>
    <w:p w14:paraId="64043235" w14:textId="77777777" w:rsidR="005E4963" w:rsidRPr="006527B0" w:rsidRDefault="00155587"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632640B2" w:rsidR="008C2215" w:rsidRPr="006527B0" w:rsidRDefault="008C2215" w:rsidP="008F385E">
      <w:pPr>
        <w:widowControl w:val="0"/>
        <w:ind w:firstLine="709"/>
      </w:pPr>
      <w:r w:rsidRPr="006527B0">
        <w:lastRenderedPageBreak/>
        <w:t xml:space="preserve">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w:t>
      </w:r>
      <w:r w:rsidR="00A12DAB">
        <w:t>2</w:t>
      </w:r>
      <w:r w:rsidRPr="006527B0">
        <w:t>.</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0" w:name="_Toc1731785"/>
      <w:bookmarkStart w:id="21" w:name="_Toc122620529"/>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0"/>
      <w:bookmarkEnd w:id="21"/>
      <w:proofErr w:type="spellEnd"/>
    </w:p>
    <w:p w14:paraId="15CE8B09" w14:textId="77777777" w:rsidR="008778C9" w:rsidRPr="006527B0" w:rsidRDefault="006F3C14" w:rsidP="009A6B27">
      <w:pPr>
        <w:pStyle w:val="2"/>
        <w:keepNext w:val="0"/>
        <w:widowControl w:val="0"/>
        <w:numPr>
          <w:ilvl w:val="0"/>
          <w:numId w:val="0"/>
        </w:numPr>
        <w:spacing w:before="0"/>
        <w:ind w:firstLine="851"/>
      </w:pPr>
      <w:bookmarkStart w:id="22"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481D1755" w14:textId="77777777" w:rsidR="00143C25" w:rsidRPr="006527B0" w:rsidRDefault="00143C25" w:rsidP="009A6B27">
      <w:pPr>
        <w:widowControl w:val="0"/>
        <w:ind w:firstLine="709"/>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109C5F55"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w:t>
      </w:r>
      <w:r w:rsidR="00A12DAB">
        <w:t>Приложении 2</w:t>
      </w:r>
      <w:r w:rsidRPr="006527B0">
        <w:t xml:space="preserve">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5F6AAB6E" w14:textId="77777777" w:rsidR="00DA47C9" w:rsidRPr="006527B0" w:rsidRDefault="00DA47C9" w:rsidP="00DA47C9">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Pr>
          <w:lang w:val="ru-RU"/>
        </w:rPr>
        <w:t xml:space="preserve"> </w:t>
      </w:r>
      <w:r w:rsidRPr="001B2293">
        <w:rPr>
          <w:lang w:val="ru-RU"/>
        </w:rPr>
        <w:t xml:space="preserve">(в том числе денежные средства, перечисленные на счет </w:t>
      </w:r>
      <w:proofErr w:type="spellStart"/>
      <w:r w:rsidRPr="001B2293">
        <w:rPr>
          <w:lang w:val="ru-RU"/>
        </w:rPr>
        <w:t>эскроу</w:t>
      </w:r>
      <w:proofErr w:type="spellEnd"/>
      <w:r w:rsidRPr="001B2293">
        <w:rPr>
          <w:lang w:val="ru-RU"/>
        </w:rPr>
        <w:t xml:space="preserve">, признаются с даты подтверждения факта зачисления на счет </w:t>
      </w:r>
      <w:proofErr w:type="spellStart"/>
      <w:r w:rsidRPr="001B2293">
        <w:rPr>
          <w:lang w:val="ru-RU"/>
        </w:rPr>
        <w:t>эскроу</w:t>
      </w:r>
      <w:proofErr w:type="spellEnd"/>
      <w:r w:rsidRPr="001B2293">
        <w:rPr>
          <w:lang w:val="ru-RU"/>
        </w:rPr>
        <w:t xml:space="preserve"> и только в том случае, если условия расчетов по договору предполагают, что зачисление на счет </w:t>
      </w:r>
      <w:proofErr w:type="spellStart"/>
      <w:r w:rsidRPr="001B2293">
        <w:rPr>
          <w:lang w:val="ru-RU"/>
        </w:rPr>
        <w:t>эскроу</w:t>
      </w:r>
      <w:proofErr w:type="spellEnd"/>
      <w:r w:rsidRPr="001B2293">
        <w:rPr>
          <w:lang w:val="ru-RU"/>
        </w:rPr>
        <w:t xml:space="preserve">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xml:space="preserve">, в том числе обеспечительные платежи </w:t>
      </w:r>
      <w:r w:rsidR="00CA3DCB" w:rsidRPr="006527B0">
        <w:rPr>
          <w:lang w:val="ru-RU"/>
        </w:rPr>
        <w:lastRenderedPageBreak/>
        <w:t>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3"/>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C659CC0"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A12DAB">
        <w:rPr>
          <w:lang w:val="ru-RU"/>
        </w:rPr>
        <w:t>2</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w:t>
      </w:r>
      <w:r w:rsidRPr="006527B0">
        <w:lastRenderedPageBreak/>
        <w:t xml:space="preserve">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39AC7F82" w:rsidR="002F534C" w:rsidRPr="006527B0" w:rsidRDefault="002F534C" w:rsidP="002F534C">
      <w:pPr>
        <w:widowControl w:val="0"/>
        <w:ind w:firstLine="709"/>
        <w:rPr>
          <w:lang w:val="x-none"/>
        </w:rPr>
      </w:pPr>
      <w:r w:rsidRPr="006527B0">
        <w:rPr>
          <w:lang w:val="x-none"/>
        </w:rPr>
        <w:t xml:space="preserve">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w:t>
      </w:r>
      <w:r w:rsidR="00A12DAB">
        <w:t>3</w:t>
      </w:r>
      <w:r w:rsidRPr="006527B0">
        <w:rPr>
          <w:lang w:val="x-none"/>
        </w:rPr>
        <w:t>.</w:t>
      </w:r>
    </w:p>
    <w:p w14:paraId="5CF8FB12" w14:textId="2B277A0A"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w:t>
      </w:r>
      <w:r w:rsidR="00A12DAB">
        <w:t>3</w:t>
      </w:r>
      <w:r w:rsidRPr="006527B0">
        <w:rPr>
          <w:lang w:val="x-none"/>
        </w:rPr>
        <w:t xml:space="preserve">,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A12DAB">
        <w:t>2</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2DAEFC4D"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w:t>
      </w:r>
      <w:r w:rsidR="00A12DAB">
        <w:t>2</w:t>
      </w:r>
      <w:r w:rsidR="00D8679B" w:rsidRPr="006527B0">
        <w:t xml:space="preserve"> </w:t>
      </w:r>
      <w:r w:rsidRPr="006527B0">
        <w:rPr>
          <w:lang w:val="x-none"/>
        </w:rPr>
        <w:t>настоящих Правил</w:t>
      </w:r>
      <w:r w:rsidRPr="006527B0">
        <w:t xml:space="preserve">). </w:t>
      </w:r>
    </w:p>
    <w:p w14:paraId="1D82EDEA" w14:textId="44A9BC36"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w:t>
      </w:r>
      <w:r w:rsidR="00A12DAB">
        <w:t>2</w:t>
      </w:r>
      <w:r w:rsidR="00D8679B" w:rsidRPr="006527B0">
        <w:t xml:space="preserve">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3" w:name="_Ref435789817"/>
      <w:bookmarkEnd w:id="22"/>
      <w:r w:rsidRPr="006527B0">
        <w:rPr>
          <w:b w:val="0"/>
          <w:u w:val="single"/>
        </w:rPr>
        <w:t>Операционная аренда</w:t>
      </w:r>
      <w:bookmarkEnd w:id="23"/>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w:t>
      </w:r>
      <w:r w:rsidR="00CD1BD8" w:rsidRPr="006527B0">
        <w:lastRenderedPageBreak/>
        <w:t xml:space="preserve">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155587"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155587"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4" w:name="_Toc536630669"/>
      <w:bookmarkStart w:id="25" w:name="_Toc5358930"/>
      <w:bookmarkStart w:id="26" w:name="_Toc536630671"/>
      <w:bookmarkStart w:id="27" w:name="_Toc5358932"/>
      <w:bookmarkStart w:id="28" w:name="_Toc536630672"/>
      <w:bookmarkStart w:id="29" w:name="_Toc5358933"/>
      <w:bookmarkStart w:id="30" w:name="_Toc536630673"/>
      <w:bookmarkStart w:id="31" w:name="_Toc5358934"/>
      <w:bookmarkStart w:id="32" w:name="_Toc536630676"/>
      <w:bookmarkStart w:id="33" w:name="_Toc5358937"/>
      <w:bookmarkStart w:id="34" w:name="_Toc536630677"/>
      <w:bookmarkStart w:id="35" w:name="_Toc5358938"/>
      <w:bookmarkStart w:id="36" w:name="_Toc536630678"/>
      <w:bookmarkStart w:id="37" w:name="_Toc5358939"/>
      <w:bookmarkStart w:id="38" w:name="_Toc536630686"/>
      <w:bookmarkStart w:id="39" w:name="_Toc5358947"/>
      <w:bookmarkStart w:id="40" w:name="_Toc536630689"/>
      <w:bookmarkStart w:id="41" w:name="_Toc535895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2" w:name="_Toc536630695"/>
      <w:bookmarkStart w:id="43" w:name="_Toc5358956"/>
      <w:bookmarkStart w:id="44" w:name="_Toc536630696"/>
      <w:bookmarkStart w:id="45" w:name="_Toc5358957"/>
      <w:bookmarkStart w:id="46" w:name="_Toc536630700"/>
      <w:bookmarkStart w:id="47" w:name="_Toc5358961"/>
      <w:bookmarkStart w:id="48" w:name="_Toc536630701"/>
      <w:bookmarkStart w:id="49" w:name="_Toc5358962"/>
      <w:bookmarkStart w:id="50" w:name="_Toc536630705"/>
      <w:bookmarkStart w:id="51" w:name="_Toc5358966"/>
      <w:bookmarkStart w:id="52" w:name="_Toc536630706"/>
      <w:bookmarkStart w:id="53" w:name="_Toc5358967"/>
      <w:bookmarkStart w:id="54" w:name="_Toc536630708"/>
      <w:bookmarkStart w:id="55" w:name="_Toc5358969"/>
      <w:bookmarkStart w:id="56" w:name="_Toc1731788"/>
      <w:bookmarkStart w:id="57" w:name="_Toc122620530"/>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56"/>
      <w:r w:rsidRPr="006527B0">
        <w:rPr>
          <w:rFonts w:ascii="Times New Roman" w:hAnsi="Times New Roman"/>
          <w:b/>
          <w:color w:val="auto"/>
          <w:sz w:val="24"/>
          <w:szCs w:val="24"/>
        </w:rPr>
        <w:t>а</w:t>
      </w:r>
      <w:bookmarkEnd w:id="57"/>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9496ACC" w:rsidR="008778C9" w:rsidRDefault="008778C9" w:rsidP="001545CE">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w:t>
      </w:r>
      <w:r w:rsidRPr="006527B0">
        <w:lastRenderedPageBreak/>
        <w:t xml:space="preserve">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1092FC1D" w14:textId="77777777" w:rsidR="00DA47C9" w:rsidRPr="006527B0" w:rsidRDefault="00DA47C9" w:rsidP="001545CE">
      <w:pPr>
        <w:widowControl w:val="0"/>
        <w:ind w:firstLine="709"/>
      </w:pPr>
    </w:p>
    <w:p w14:paraId="545EF588" w14:textId="77777777" w:rsidR="00DA47C9" w:rsidRPr="006527B0" w:rsidRDefault="00DA47C9" w:rsidP="00DA47C9">
      <w:pPr>
        <w:pStyle w:val="20"/>
        <w:keepNext w:val="0"/>
        <w:keepLines w:val="0"/>
        <w:widowControl w:val="0"/>
        <w:numPr>
          <w:ilvl w:val="0"/>
          <w:numId w:val="7"/>
        </w:numPr>
        <w:rPr>
          <w:rFonts w:ascii="Times New Roman" w:hAnsi="Times New Roman"/>
          <w:b/>
          <w:color w:val="auto"/>
          <w:sz w:val="24"/>
          <w:szCs w:val="24"/>
        </w:rPr>
      </w:pPr>
      <w:bookmarkStart w:id="58" w:name="_Ref435783911"/>
      <w:bookmarkStart w:id="59" w:name="_Toc1731787"/>
      <w:bookmarkStart w:id="60" w:name="_Toc100860591"/>
      <w:bookmarkStart w:id="61" w:name="_Toc122620531"/>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 строительства и приобретения объектов недвижимого имущества</w:t>
      </w:r>
      <w:bookmarkEnd w:id="58"/>
      <w:bookmarkEnd w:id="59"/>
      <w:bookmarkEnd w:id="60"/>
      <w:bookmarkEnd w:id="61"/>
    </w:p>
    <w:p w14:paraId="59FE3A98" w14:textId="77777777" w:rsidR="00DA47C9" w:rsidRPr="006527B0" w:rsidRDefault="00DA47C9" w:rsidP="00DA47C9">
      <w:pPr>
        <w:widowControl w:val="0"/>
        <w:ind w:firstLine="709"/>
      </w:pPr>
    </w:p>
    <w:p w14:paraId="091AD168" w14:textId="77777777" w:rsidR="00DA47C9" w:rsidRPr="006527B0" w:rsidRDefault="00DA47C9" w:rsidP="00DA47C9">
      <w:pPr>
        <w:widowControl w:val="0"/>
        <w:ind w:firstLine="709"/>
      </w:pPr>
      <w:r w:rsidRPr="006527B0">
        <w:t xml:space="preserve">Имущественные права из Договора участия в долевом строительстве объектов недвижимого имущества, инвестиционного договора, а также иного договора на строительство (создание) объекта недвижимого имущества признаются: </w:t>
      </w:r>
    </w:p>
    <w:p w14:paraId="64E043BE" w14:textId="77777777" w:rsidR="00DA47C9" w:rsidRPr="006527B0" w:rsidRDefault="00DA47C9" w:rsidP="00DA47C9">
      <w:pPr>
        <w:pStyle w:val="a4"/>
        <w:widowControl w:val="0"/>
        <w:numPr>
          <w:ilvl w:val="0"/>
          <w:numId w:val="54"/>
        </w:numPr>
        <w:ind w:left="0" w:firstLine="709"/>
      </w:pPr>
      <w:r w:rsidRPr="006527B0">
        <w:t>в момент вступления в силу</w:t>
      </w:r>
      <w:r w:rsidRPr="006527B0">
        <w:rPr>
          <w:lang w:val="ru-RU"/>
        </w:rPr>
        <w:t>,</w:t>
      </w:r>
    </w:p>
    <w:p w14:paraId="0A93BC60" w14:textId="77777777" w:rsidR="00DA47C9" w:rsidRPr="006527B0" w:rsidRDefault="00DA47C9" w:rsidP="00DA47C9">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60AE5503" w14:textId="77777777" w:rsidR="00DA47C9" w:rsidRPr="006527B0" w:rsidRDefault="00DA47C9" w:rsidP="00DA47C9">
      <w:pPr>
        <w:widowControl w:val="0"/>
        <w:ind w:firstLine="709"/>
      </w:pPr>
      <w:r w:rsidRPr="006527B0">
        <w:t>Данные имущественные права из договоров признаются до наступления момента:</w:t>
      </w:r>
    </w:p>
    <w:p w14:paraId="1B003F64" w14:textId="77777777" w:rsidR="00DA47C9" w:rsidRPr="006527B0" w:rsidRDefault="00DA47C9" w:rsidP="00DA47C9">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38C96FF" w14:textId="77777777" w:rsidR="00DA47C9" w:rsidRPr="006527B0" w:rsidRDefault="00DA47C9" w:rsidP="00DA47C9">
      <w:pPr>
        <w:pStyle w:val="a4"/>
        <w:widowControl w:val="0"/>
        <w:numPr>
          <w:ilvl w:val="0"/>
          <w:numId w:val="75"/>
        </w:numPr>
        <w:ind w:left="0" w:firstLine="709"/>
      </w:pPr>
      <w:r w:rsidRPr="006527B0">
        <w:t>передачи Фондом прав и обязательств по договору третьему лицу;</w:t>
      </w:r>
    </w:p>
    <w:p w14:paraId="7389B343" w14:textId="77777777" w:rsidR="00DA47C9" w:rsidRPr="006527B0" w:rsidRDefault="00DA47C9" w:rsidP="00DA47C9">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04AF10A6" w14:textId="77777777" w:rsidR="00DA47C9" w:rsidRPr="006527B0" w:rsidRDefault="00DA47C9" w:rsidP="00DA47C9">
      <w:pPr>
        <w:widowControl w:val="0"/>
        <w:ind w:firstLine="709"/>
      </w:pPr>
    </w:p>
    <w:p w14:paraId="4B1E54CB" w14:textId="77777777" w:rsidR="00DA47C9" w:rsidRPr="006527B0" w:rsidRDefault="00DA47C9" w:rsidP="00DA47C9">
      <w:pPr>
        <w:widowControl w:val="0"/>
        <w:ind w:firstLine="709"/>
      </w:pPr>
      <w:r w:rsidRPr="006527B0">
        <w:t>Оценка справедливой стоимости имущественных прав по договору производится оценщиком в сроки, соответствующие требованиям законодательства. 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5A7DB31" w14:textId="77777777" w:rsidR="00DA47C9" w:rsidRPr="006527B0" w:rsidRDefault="00DA47C9" w:rsidP="00DA47C9">
      <w:pPr>
        <w:widowControl w:val="0"/>
        <w:ind w:firstLine="709"/>
      </w:pPr>
      <w:r w:rsidRPr="006527B0">
        <w:t>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10 (десяти)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7390D2C5" w14:textId="77777777" w:rsidR="00DA47C9" w:rsidRPr="006527B0" w:rsidRDefault="00DA47C9" w:rsidP="00DA47C9">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Pr="006527B0">
        <w:rPr>
          <w:sz w:val="24"/>
          <w:szCs w:val="24"/>
        </w:rPr>
        <w:t xml:space="preserve"> </w:t>
      </w:r>
    </w:p>
    <w:p w14:paraId="56AA49E2" w14:textId="77777777" w:rsidR="000D1F90" w:rsidRPr="006527B0" w:rsidRDefault="000D1F90" w:rsidP="001545CE">
      <w:pPr>
        <w:widowControl w:val="0"/>
        <w:ind w:firstLine="709"/>
      </w:pPr>
    </w:p>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2" w:name="_Toc513730134"/>
      <w:bookmarkStart w:id="63" w:name="_Toc513731066"/>
      <w:bookmarkStart w:id="64" w:name="_Toc513731106"/>
      <w:bookmarkStart w:id="65" w:name="_Toc513731153"/>
      <w:bookmarkStart w:id="66" w:name="_Toc513730138"/>
      <w:bookmarkStart w:id="67" w:name="_Toc513731070"/>
      <w:bookmarkStart w:id="68" w:name="_Toc513731110"/>
      <w:bookmarkStart w:id="69" w:name="_Toc513731157"/>
      <w:bookmarkStart w:id="70" w:name="_Toc513730139"/>
      <w:bookmarkStart w:id="71" w:name="_Toc513731071"/>
      <w:bookmarkStart w:id="72" w:name="_Toc513731111"/>
      <w:bookmarkStart w:id="73" w:name="_Toc513731158"/>
      <w:bookmarkStart w:id="74" w:name="_Toc513730141"/>
      <w:bookmarkStart w:id="75" w:name="_Toc513731073"/>
      <w:bookmarkStart w:id="76" w:name="_Toc513731113"/>
      <w:bookmarkStart w:id="77" w:name="_Toc513731160"/>
      <w:bookmarkStart w:id="78" w:name="_Toc513730143"/>
      <w:bookmarkStart w:id="79" w:name="_Toc513731075"/>
      <w:bookmarkStart w:id="80" w:name="_Toc513731115"/>
      <w:bookmarkStart w:id="81" w:name="_Toc513731162"/>
      <w:bookmarkStart w:id="82" w:name="_Toc513730145"/>
      <w:bookmarkStart w:id="83" w:name="_Toc513731077"/>
      <w:bookmarkStart w:id="84" w:name="_Toc513731117"/>
      <w:bookmarkStart w:id="85" w:name="_Toc513731164"/>
      <w:bookmarkStart w:id="86" w:name="_Toc513730147"/>
      <w:bookmarkStart w:id="87" w:name="_Toc513731079"/>
      <w:bookmarkStart w:id="88" w:name="_Toc513731119"/>
      <w:bookmarkStart w:id="89" w:name="_Toc513731166"/>
      <w:bookmarkStart w:id="90" w:name="_Toc513730151"/>
      <w:bookmarkStart w:id="91" w:name="_Toc513731083"/>
      <w:bookmarkStart w:id="92" w:name="_Toc513731123"/>
      <w:bookmarkStart w:id="93" w:name="_Toc513731170"/>
      <w:bookmarkStart w:id="94" w:name="_Toc513730150"/>
      <w:bookmarkStart w:id="95" w:name="_Toc513731082"/>
      <w:bookmarkStart w:id="96" w:name="_Toc513731122"/>
      <w:bookmarkStart w:id="97" w:name="_Toc513731169"/>
      <w:bookmarkStart w:id="98" w:name="_Toc1731792"/>
      <w:bookmarkStart w:id="99" w:name="_Toc12262053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527B0">
        <w:rPr>
          <w:rFonts w:ascii="Times New Roman" w:hAnsi="Times New Roman"/>
          <w:b/>
          <w:color w:val="auto"/>
          <w:sz w:val="24"/>
          <w:szCs w:val="24"/>
        </w:rPr>
        <w:t>Признание и оценка кредиторской задолженности</w:t>
      </w:r>
      <w:bookmarkEnd w:id="98"/>
      <w:bookmarkEnd w:id="99"/>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xml:space="preserve">, при условии, что расходы по выплате вознаграждения Управляющей компании, Специализированному Депозитарию, </w:t>
      </w:r>
      <w:r w:rsidR="006F5191" w:rsidRPr="006527B0">
        <w:lastRenderedPageBreak/>
        <w:t>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lastRenderedPageBreak/>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155587"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155587"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4"/>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w:t>
      </w:r>
      <w:r w:rsidRPr="006527B0">
        <w:lastRenderedPageBreak/>
        <w:t xml:space="preserve">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155587"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155587"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proofErr w:type="spellStart"/>
      <w:r w:rsidR="00FC09D2" w:rsidRPr="006527B0">
        <w:rPr>
          <w:i/>
          <w:iCs/>
          <w:lang w:val="en-US"/>
        </w:rPr>
        <w:t>i</w:t>
      </w:r>
      <w:proofErr w:type="spellEnd"/>
      <w:r w:rsidR="00FC09D2" w:rsidRPr="006527B0">
        <w:t>-ом периоде календарного месяца,</w:t>
      </w:r>
    </w:p>
    <w:p w14:paraId="1200D372" w14:textId="77777777" w:rsidR="00FC09D2" w:rsidRPr="006527B0" w:rsidRDefault="00155587"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5"/>
      </w:r>
      <w:r w:rsidRPr="006527B0">
        <w:t xml:space="preserve"> или указанная в первичных учетных документах (актах оказанных услуг, </w:t>
      </w:r>
      <w:r w:rsidRPr="006527B0">
        <w:lastRenderedPageBreak/>
        <w:t>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100" w:name="_Ref435789713"/>
      <w:r w:rsidRPr="006527B0">
        <w:rPr>
          <w:b w:val="0"/>
          <w:u w:val="single"/>
        </w:rPr>
        <w:t>Оценка иных видов кредиторской задолженности</w:t>
      </w:r>
      <w:bookmarkEnd w:id="100"/>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155587"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155587"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w:t>
      </w:r>
      <w:proofErr w:type="spellStart"/>
      <w:r w:rsidR="00C737CC" w:rsidRPr="006527B0">
        <w:t>емая</w:t>
      </w:r>
      <w:proofErr w:type="spellEnd"/>
      <w:r w:rsidR="00C737CC" w:rsidRPr="006527B0">
        <w:t xml:space="preserve">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155587"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155587"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155587"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w:t>
      </w:r>
      <w:proofErr w:type="spellStart"/>
      <w:r w:rsidRPr="006527B0">
        <w:t>ссчитывается</w:t>
      </w:r>
      <w:proofErr w:type="spellEnd"/>
      <w:r w:rsidRPr="006527B0">
        <w:t xml:space="preserve"> процентная ставка;</w:t>
      </w:r>
    </w:p>
    <w:p w14:paraId="522FB632" w14:textId="77777777" w:rsidR="00C737CC" w:rsidRPr="006527B0" w:rsidRDefault="00155587"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proofErr w:type="spellStart"/>
      <w:r w:rsidR="00C737CC" w:rsidRPr="006527B0">
        <w:rPr>
          <w:i/>
          <w:lang w:val="en-US"/>
        </w:rPr>
        <w:t>i</w:t>
      </w:r>
      <w:proofErr w:type="spellEnd"/>
      <w:r w:rsidR="00C737CC" w:rsidRPr="006527B0">
        <w:t>-ом периоде календарного месяца;</w:t>
      </w:r>
    </w:p>
    <w:p w14:paraId="0B6D9088" w14:textId="77777777" w:rsidR="00091466" w:rsidRPr="006527B0" w:rsidRDefault="00155587"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1" w:name="_Toc1731793"/>
      <w:bookmarkStart w:id="102" w:name="_Toc122620533"/>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1"/>
      <w:bookmarkEnd w:id="102"/>
    </w:p>
    <w:p w14:paraId="0235DD25" w14:textId="58F52410" w:rsidR="0034469D" w:rsidRPr="006527B0" w:rsidRDefault="0034469D" w:rsidP="00C37C10">
      <w:pPr>
        <w:widowControl w:val="0"/>
        <w:ind w:firstLine="709"/>
      </w:pPr>
      <w:r>
        <w:t xml:space="preserve">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w:t>
      </w:r>
      <w:r>
        <w:lastRenderedPageBreak/>
        <w:t>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w:t>
      </w:r>
      <w:proofErr w:type="spellStart"/>
      <w:r w:rsidR="00E624C6">
        <w:rPr>
          <w:lang w:val="x-none"/>
        </w:rPr>
        <w:t>Intercontinental</w:t>
      </w:r>
      <w:proofErr w:type="spellEnd"/>
      <w:r w:rsidR="00E624C6">
        <w:rPr>
          <w:lang w:val="x-none"/>
        </w:rPr>
        <w:t xml:space="preserve"> </w:t>
      </w:r>
      <w:proofErr w:type="spellStart"/>
      <w:r w:rsidR="00E624C6">
        <w:rPr>
          <w:lang w:val="x-none"/>
        </w:rPr>
        <w:t>Exchange</w:t>
      </w:r>
      <w:proofErr w:type="spellEnd"/>
      <w:r w:rsidR="00E624C6">
        <w:rPr>
          <w:lang w:val="x-none"/>
        </w:rPr>
        <w:t xml:space="preserve"> (ICE) </w:t>
      </w:r>
      <w:r w:rsidR="00A72DAF" w:rsidRPr="006527B0">
        <w:rPr>
          <w:rStyle w:val="af4"/>
        </w:rPr>
        <w:footnoteReference w:id="6"/>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3" w:name="_Toc1731794"/>
      <w:bookmarkStart w:id="104" w:name="_Toc12262053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03"/>
      <w:bookmarkEnd w:id="104"/>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lastRenderedPageBreak/>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w:t>
      </w:r>
      <w:r w:rsidRPr="006527B0">
        <w:rPr>
          <w:bCs/>
        </w:rPr>
        <w:lastRenderedPageBreak/>
        <w:t>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105" w:name="_Toc513731088"/>
      <w:bookmarkStart w:id="106" w:name="_Toc513731128"/>
      <w:bookmarkStart w:id="107" w:name="_Toc513731174"/>
      <w:bookmarkStart w:id="108" w:name="_Toc1731795"/>
      <w:bookmarkStart w:id="109" w:name="_Toc122620535"/>
      <w:bookmarkEnd w:id="105"/>
      <w:bookmarkEnd w:id="106"/>
      <w:bookmarkEnd w:id="107"/>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08"/>
      <w:bookmarkEnd w:id="109"/>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6E226675" w14:textId="3FE9AA60"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110" w:name="_Toc1731796"/>
      <w:bookmarkStart w:id="111" w:name="_Toc122620536"/>
      <w:r w:rsidRPr="006527B0">
        <w:rPr>
          <w:rFonts w:ascii="Times New Roman" w:hAnsi="Times New Roman"/>
          <w:b/>
          <w:color w:val="auto"/>
          <w:sz w:val="24"/>
          <w:szCs w:val="24"/>
        </w:rPr>
        <w:lastRenderedPageBreak/>
        <w:t>Приложение 1. Используемая терминология</w:t>
      </w:r>
      <w:bookmarkEnd w:id="110"/>
      <w:bookmarkEnd w:id="111"/>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lastRenderedPageBreak/>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45BD0B68" w14:textId="08204064"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 xml:space="preserve">(за исключением расчета стоимости депозитов и обязательств по договорам операционной аренды, в которых </w:t>
      </w:r>
      <w:r w:rsidR="000D1C7C" w:rsidRPr="006527B0">
        <w:rPr>
          <w:b/>
        </w:rPr>
        <w:lastRenderedPageBreak/>
        <w:t>Фонд выступает арендатором</w:t>
      </w:r>
      <w:r w:rsidR="00A35F39">
        <w:rPr>
          <w:b/>
        </w:rPr>
        <w:t xml:space="preserve"> </w:t>
      </w:r>
      <w:r w:rsidR="00315F25" w:rsidRPr="006527B0">
        <w:rPr>
          <w:b/>
        </w:rPr>
        <w:t>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155587"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1226EF78"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A12DAB">
        <w:rPr>
          <w:rFonts w:eastAsia="Times New Roman"/>
        </w:rPr>
        <w:t>Приложении 2</w:t>
      </w:r>
      <w:r w:rsidR="00FD1358" w:rsidRPr="006527B0">
        <w:rPr>
          <w:rFonts w:eastAsia="Times New Roman"/>
        </w:rPr>
        <w:t xml:space="preserve"> к настоящим Правилам</w:t>
      </w:r>
      <w:r w:rsidRPr="006527B0">
        <w:rPr>
          <w:rFonts w:eastAsia="Times New Roman"/>
        </w:rPr>
        <w:t>;</w:t>
      </w:r>
    </w:p>
    <w:p w14:paraId="611C667B" w14:textId="54395271"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w:t>
      </w:r>
      <w:r w:rsidR="00A12DAB">
        <w:rPr>
          <w:rFonts w:eastAsia="Times New Roman"/>
        </w:rPr>
        <w:t>Приложении 2</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155587"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12F31131" w14:textId="77777777" w:rsidR="008778C9" w:rsidRPr="006527B0" w:rsidRDefault="0015558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11E72EFD" w14:textId="77777777" w:rsidR="008778C9" w:rsidRPr="006527B0" w:rsidRDefault="0015558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17A317A2"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EA6CA7">
        <w:rPr>
          <w:b/>
        </w:rPr>
        <w:t xml:space="preserve"> </w:t>
      </w:r>
      <w:r w:rsidR="00315F25" w:rsidRPr="006527B0">
        <w:rPr>
          <w:b/>
        </w:rPr>
        <w:t xml:space="preserve">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155587"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w:t>
      </w:r>
      <w:proofErr w:type="spellStart"/>
      <w:r w:rsidRPr="006527B0">
        <w:rPr>
          <w:rFonts w:eastAsia="Times New Roman"/>
        </w:rPr>
        <w:t>ичество</w:t>
      </w:r>
      <w:proofErr w:type="spellEnd"/>
      <w:r w:rsidRPr="006527B0">
        <w:rPr>
          <w:rFonts w:eastAsia="Times New Roman"/>
        </w:rPr>
        <w:t xml:space="preserve"> денежных потоков до даты погашения актива (обязательства), начиная с даты определения СЧА;</w:t>
      </w:r>
    </w:p>
    <w:p w14:paraId="415C8C6B" w14:textId="77777777" w:rsidR="00A90EDD" w:rsidRPr="006527B0" w:rsidRDefault="00155587"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1683BF03" w14:textId="77777777" w:rsidR="00A90EDD" w:rsidRPr="006527B0" w:rsidRDefault="00155587"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57439D45" w14:textId="77777777" w:rsidR="00A90EDD" w:rsidRPr="006527B0" w:rsidRDefault="00155587"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proofErr w:type="spellStart"/>
      <w:r w:rsidRPr="00584D15">
        <w:rPr>
          <w:b/>
        </w:rPr>
        <w:t>Безрисковая</w:t>
      </w:r>
      <w:proofErr w:type="spellEnd"/>
      <w:r w:rsidRPr="00584D15">
        <w:rPr>
          <w:b/>
        </w:rPr>
        <w:t xml:space="preserve">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w:t>
      </w:r>
      <w:r w:rsidRPr="00584D15">
        <w:lastRenderedPageBreak/>
        <w:t xml:space="preserve">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356B937" w:rsidR="00584D15" w:rsidRDefault="00584D15" w:rsidP="00584D15">
      <w:pPr>
        <w:ind w:firstLine="709"/>
      </w:pPr>
      <w:r w:rsidRPr="00584D15">
        <w:t xml:space="preserve">- ставка </w:t>
      </w:r>
      <w:r w:rsidR="00272E13">
        <w:t>RUONIA</w:t>
      </w:r>
      <w:r w:rsidRPr="00584D15">
        <w:t xml:space="preserve"> (</w:t>
      </w:r>
      <w:r w:rsidR="00272E13">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7"/>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8"/>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9"/>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0"/>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 xml:space="preserve">В прочих валютах – как </w:t>
      </w:r>
      <w:proofErr w:type="spellStart"/>
      <w:r w:rsidRPr="00584D15">
        <w:t>безрисковая</w:t>
      </w:r>
      <w:proofErr w:type="spellEnd"/>
      <w:r w:rsidRPr="00584D15">
        <w:t xml:space="preserve">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155587"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proofErr w:type="spellStart"/>
      <w:r w:rsidRPr="00584D15">
        <w:rPr>
          <w:b/>
        </w:rPr>
        <w:t>D</w:t>
      </w:r>
      <w:r w:rsidRPr="00584D15">
        <w:rPr>
          <w:b/>
          <w:vertAlign w:val="subscript"/>
        </w:rPr>
        <w:t>m</w:t>
      </w:r>
      <w:proofErr w:type="spellEnd"/>
      <w:r w:rsidRPr="00584D15">
        <w:t xml:space="preserve"> - срок до погашения инструмента m в годах;</w:t>
      </w:r>
    </w:p>
    <w:p w14:paraId="561E8039" w14:textId="77777777" w:rsidR="00584D15" w:rsidRPr="00584D15" w:rsidRDefault="00584D15" w:rsidP="00584D15">
      <w:pPr>
        <w:ind w:firstLine="709"/>
      </w:pPr>
      <w:proofErr w:type="spellStart"/>
      <w:r w:rsidRPr="00584D15">
        <w:rPr>
          <w:b/>
        </w:rPr>
        <w:t>D</w:t>
      </w:r>
      <w:r w:rsidRPr="00584D15">
        <w:rPr>
          <w:b/>
          <w:vertAlign w:val="subscript"/>
        </w:rPr>
        <w:t>min</w:t>
      </w:r>
      <w:proofErr w:type="spellEnd"/>
      <w:r w:rsidRPr="00584D15">
        <w:rPr>
          <w:b/>
        </w:rPr>
        <w:t xml:space="preserve">, </w:t>
      </w:r>
      <w:proofErr w:type="spellStart"/>
      <w:r w:rsidRPr="00584D15">
        <w:rPr>
          <w:b/>
        </w:rPr>
        <w:t>D</w:t>
      </w:r>
      <w:r w:rsidRPr="00584D15">
        <w:rPr>
          <w:b/>
          <w:vertAlign w:val="subscript"/>
        </w:rPr>
        <w:t>max</w:t>
      </w:r>
      <w:proofErr w:type="spellEnd"/>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proofErr w:type="spellStart"/>
      <w:r w:rsidRPr="00584D15">
        <w:rPr>
          <w:lang w:val="en-US"/>
        </w:rPr>
        <w:t>D</w:t>
      </w:r>
      <w:r w:rsidRPr="00584D15">
        <w:rPr>
          <w:vertAlign w:val="subscript"/>
          <w:lang w:val="en-US"/>
        </w:rPr>
        <w:t>m</w:t>
      </w:r>
      <w:proofErr w:type="spellEnd"/>
      <w:r w:rsidRPr="00584D15">
        <w:t xml:space="preserve"> срок, на который известно значение кривой бескупонной доходности, не превышающий (превышающий) </w:t>
      </w:r>
      <w:proofErr w:type="spellStart"/>
      <w:r w:rsidRPr="00584D15">
        <w:t>D</w:t>
      </w:r>
      <w:r w:rsidRPr="00584D15">
        <w:rPr>
          <w:vertAlign w:val="subscript"/>
        </w:rPr>
        <w:t>m</w:t>
      </w:r>
      <w:proofErr w:type="spellEnd"/>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1FE31A54" w:rsidR="00EA6CA7" w:rsidRDefault="00584D15" w:rsidP="00584D15">
      <w:pPr>
        <w:ind w:firstLine="709"/>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6675D10B" w14:textId="77777777" w:rsidR="00EA6CA7" w:rsidRDefault="00EA6CA7">
      <w:pPr>
        <w:jc w:val="left"/>
      </w:pPr>
      <w:r>
        <w:br w:type="page"/>
      </w:r>
    </w:p>
    <w:p w14:paraId="2D249AD1" w14:textId="04490C33" w:rsidR="00667690" w:rsidRPr="006527B0" w:rsidRDefault="00EA6CA7" w:rsidP="006A22D6">
      <w:pPr>
        <w:pStyle w:val="10"/>
        <w:ind w:left="360"/>
        <w:jc w:val="right"/>
        <w:rPr>
          <w:rFonts w:ascii="Times New Roman" w:hAnsi="Times New Roman"/>
          <w:b/>
          <w:color w:val="auto"/>
          <w:sz w:val="24"/>
          <w:szCs w:val="24"/>
        </w:rPr>
      </w:pPr>
      <w:bookmarkStart w:id="112" w:name="_Toc1731799"/>
      <w:bookmarkStart w:id="113" w:name="_Toc122620537"/>
      <w:r>
        <w:rPr>
          <w:rFonts w:ascii="Times New Roman" w:hAnsi="Times New Roman"/>
          <w:b/>
          <w:color w:val="auto"/>
          <w:sz w:val="24"/>
          <w:szCs w:val="24"/>
        </w:rPr>
        <w:lastRenderedPageBreak/>
        <w:t>Приложение 2</w:t>
      </w:r>
      <w:r w:rsidR="00B753E5" w:rsidRPr="006527B0">
        <w:rPr>
          <w:rFonts w:ascii="Times New Roman" w:hAnsi="Times New Roman"/>
          <w:b/>
          <w:color w:val="auto"/>
          <w:sz w:val="24"/>
          <w:szCs w:val="24"/>
        </w:rPr>
        <w:t>. Методика оценки кредитного риска контрагента</w:t>
      </w:r>
      <w:bookmarkEnd w:id="112"/>
      <w:bookmarkEnd w:id="113"/>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 xml:space="preserve">мнение независимого рейтингового агентства о способности </w:t>
      </w:r>
      <w:proofErr w:type="spellStart"/>
      <w:r w:rsidRPr="006527B0">
        <w:rPr>
          <w:szCs w:val="24"/>
        </w:rPr>
        <w:t>рейтингуемого</w:t>
      </w:r>
      <w:proofErr w:type="spellEnd"/>
      <w:r w:rsidRPr="006527B0">
        <w:rPr>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proofErr w:type="spellStart"/>
      <w:r w:rsidRPr="006527B0">
        <w:rPr>
          <w:szCs w:val="24"/>
        </w:rPr>
        <w:t>Moody's</w:t>
      </w:r>
      <w:proofErr w:type="spellEnd"/>
      <w:r w:rsidRPr="006527B0">
        <w:rPr>
          <w:szCs w:val="24"/>
        </w:rPr>
        <w:t xml:space="preserve"> </w:t>
      </w:r>
      <w:proofErr w:type="spellStart"/>
      <w:r w:rsidRPr="006527B0">
        <w:rPr>
          <w:szCs w:val="24"/>
        </w:rPr>
        <w:t>Investors</w:t>
      </w:r>
      <w:proofErr w:type="spellEnd"/>
      <w:r w:rsidRPr="006527B0">
        <w:rPr>
          <w:szCs w:val="24"/>
        </w:rPr>
        <w:t xml:space="preserve"> </w:t>
      </w:r>
      <w:proofErr w:type="spellStart"/>
      <w:r w:rsidRPr="006527B0">
        <w:rPr>
          <w:szCs w:val="24"/>
        </w:rPr>
        <w:t>Service</w:t>
      </w:r>
      <w:proofErr w:type="spellEnd"/>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proofErr w:type="spellStart"/>
      <w:r w:rsidRPr="006527B0">
        <w:rPr>
          <w:szCs w:val="24"/>
        </w:rPr>
        <w:t>Standard</w:t>
      </w:r>
      <w:proofErr w:type="spellEnd"/>
      <w:r w:rsidRPr="006527B0">
        <w:rPr>
          <w:szCs w:val="24"/>
        </w:rPr>
        <w:t xml:space="preserve"> &amp; </w:t>
      </w:r>
      <w:proofErr w:type="spellStart"/>
      <w:r w:rsidRPr="006527B0">
        <w:rPr>
          <w:szCs w:val="24"/>
        </w:rPr>
        <w:t>Poor's</w:t>
      </w:r>
      <w:proofErr w:type="spellEnd"/>
    </w:p>
    <w:p w14:paraId="661C0887" w14:textId="77777777" w:rsidR="002F6819" w:rsidRPr="006527B0" w:rsidRDefault="002F6819" w:rsidP="00166F3F">
      <w:pPr>
        <w:pStyle w:val="a4"/>
        <w:numPr>
          <w:ilvl w:val="0"/>
          <w:numId w:val="32"/>
        </w:numPr>
        <w:autoSpaceDE w:val="0"/>
        <w:autoSpaceDN w:val="0"/>
        <w:ind w:left="0" w:firstLine="709"/>
        <w:rPr>
          <w:szCs w:val="24"/>
        </w:rPr>
      </w:pPr>
      <w:proofErr w:type="spellStart"/>
      <w:r w:rsidRPr="006527B0">
        <w:rPr>
          <w:szCs w:val="24"/>
        </w:rPr>
        <w:t>Fitch</w:t>
      </w:r>
      <w:proofErr w:type="spellEnd"/>
      <w:r w:rsidRPr="006527B0">
        <w:rPr>
          <w:szCs w:val="24"/>
        </w:rPr>
        <w:t xml:space="preserve"> </w:t>
      </w:r>
      <w:proofErr w:type="spellStart"/>
      <w:r w:rsidRPr="006527B0">
        <w:rPr>
          <w:szCs w:val="24"/>
        </w:rPr>
        <w:t>Ratings</w:t>
      </w:r>
      <w:proofErr w:type="spellEnd"/>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155587"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15558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15558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347251FE" w:rsidR="00FA1DB1" w:rsidRPr="006527B0" w:rsidRDefault="0015558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29"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272E13">
        <w:rPr>
          <w:rFonts w:eastAsia="Batang"/>
          <w:color w:val="000000"/>
          <w:sz w:val="20"/>
        </w:rPr>
        <w:t>RUONIA</w:t>
      </w:r>
      <w:r w:rsidR="00302CF4" w:rsidRPr="006527B0">
        <w:rPr>
          <w:rStyle w:val="af4"/>
          <w:rFonts w:eastAsia="Batang"/>
          <w:color w:val="000000"/>
          <w:sz w:val="20"/>
        </w:rPr>
        <w:footnoteReference w:id="11"/>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proofErr w:type="spellStart"/>
      <w:r w:rsidR="00302CF4">
        <w:rPr>
          <w:rFonts w:eastAsia="Batang"/>
          <w:color w:val="000000"/>
          <w:sz w:val="20"/>
        </w:rPr>
        <w:t>безрисковая</w:t>
      </w:r>
      <w:proofErr w:type="spellEnd"/>
      <w:r w:rsidR="00302CF4">
        <w:rPr>
          <w:rFonts w:eastAsia="Batang"/>
          <w:color w:val="000000"/>
          <w:sz w:val="20"/>
        </w:rPr>
        <w:t xml:space="preserve">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n) (</w:t>
      </w:r>
      <w:proofErr w:type="spellStart"/>
      <w:r w:rsidRPr="006527B0">
        <w:rPr>
          <w:rFonts w:eastAsia="Batang"/>
          <w:color w:val="000000"/>
          <w:sz w:val="20"/>
        </w:rPr>
        <w:t>Probability</w:t>
      </w:r>
      <w:proofErr w:type="spellEnd"/>
      <w:r w:rsidRPr="006527B0">
        <w:rPr>
          <w:rFonts w:eastAsia="Batang"/>
          <w:color w:val="000000"/>
          <w:sz w:val="20"/>
        </w:rPr>
        <w:t xml:space="preserve"> </w:t>
      </w:r>
      <w:proofErr w:type="spellStart"/>
      <w:r w:rsidRPr="006527B0">
        <w:rPr>
          <w:rFonts w:eastAsia="Batang"/>
          <w:color w:val="000000"/>
          <w:sz w:val="20"/>
        </w:rPr>
        <w:t>of</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xml:space="preserve">,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w:t>
      </w:r>
      <w:proofErr w:type="spellStart"/>
      <w:r w:rsidRPr="006527B0">
        <w:rPr>
          <w:rFonts w:eastAsia="Batang"/>
          <w:color w:val="000000"/>
          <w:sz w:val="20"/>
        </w:rPr>
        <w:t>Loss</w:t>
      </w:r>
      <w:proofErr w:type="spellEnd"/>
      <w:r w:rsidRPr="006527B0">
        <w:rPr>
          <w:rFonts w:eastAsia="Batang"/>
          <w:color w:val="000000"/>
          <w:sz w:val="20"/>
        </w:rPr>
        <w:t xml:space="preserve"> </w:t>
      </w:r>
      <w:proofErr w:type="spellStart"/>
      <w:r w:rsidRPr="006527B0">
        <w:rPr>
          <w:rFonts w:eastAsia="Batang"/>
          <w:color w:val="000000"/>
          <w:sz w:val="20"/>
        </w:rPr>
        <w:t>Given</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6DB7FE95"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w:t>
      </w:r>
      <w:proofErr w:type="spellStart"/>
      <w:r w:rsidR="00D27A80" w:rsidRPr="006527B0">
        <w:t>неоперационной</w:t>
      </w:r>
      <w:proofErr w:type="spellEnd"/>
      <w:r w:rsidR="00D27A80" w:rsidRPr="006527B0">
        <w:t xml:space="preserve">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A12DAB">
        <w:t>3</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155587"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15558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15558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proofErr w:type="spellStart"/>
      <w:r w:rsidR="00B956BD" w:rsidRPr="006527B0">
        <w:rPr>
          <w:rFonts w:eastAsia="Batang"/>
          <w:color w:val="000000"/>
          <w:sz w:val="20"/>
          <w:lang w:val="en-GB"/>
        </w:rPr>
        <w:t>D</w:t>
      </w:r>
      <w:r w:rsidR="00B956BD" w:rsidRPr="006527B0">
        <w:rPr>
          <w:rFonts w:eastAsia="Batang"/>
          <w:color w:val="000000"/>
          <w:sz w:val="20"/>
          <w:vertAlign w:val="subscript"/>
          <w:lang w:val="en-GB"/>
        </w:rPr>
        <w:t>n</w:t>
      </w:r>
      <w:proofErr w:type="spellEnd"/>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proofErr w:type="spellStart"/>
      <w:r w:rsidR="002A1C07" w:rsidRPr="006527B0">
        <w:rPr>
          <w:rFonts w:eastAsia="Batang"/>
          <w:color w:val="000000"/>
          <w:sz w:val="20"/>
          <w:lang w:val="en-GB"/>
        </w:rPr>
        <w:t>D</w:t>
      </w:r>
      <w:r w:rsidR="002A1C07" w:rsidRPr="006527B0">
        <w:rPr>
          <w:rFonts w:eastAsia="Batang"/>
          <w:color w:val="000000"/>
          <w:sz w:val="20"/>
          <w:vertAlign w:val="subscript"/>
          <w:lang w:val="en-GB"/>
        </w:rPr>
        <w:t>n</w:t>
      </w:r>
      <w:proofErr w:type="spellEnd"/>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0E33E134" w:rsidR="00BC15E6" w:rsidRPr="006527B0" w:rsidRDefault="0015558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0"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272E13">
        <w:rPr>
          <w:rFonts w:eastAsia="Batang"/>
          <w:color w:val="000000"/>
          <w:sz w:val="20"/>
        </w:rPr>
        <w:t>RUONIA</w:t>
      </w:r>
      <w:r w:rsidR="00302CF4" w:rsidRPr="006527B0">
        <w:rPr>
          <w:rStyle w:val="af4"/>
          <w:rFonts w:eastAsia="Batang"/>
          <w:color w:val="000000"/>
          <w:sz w:val="20"/>
        </w:rPr>
        <w:footnoteReference w:id="12"/>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proofErr w:type="spellStart"/>
      <w:r w:rsidR="00302CF4">
        <w:rPr>
          <w:rFonts w:eastAsia="Batang"/>
          <w:color w:val="000000"/>
          <w:sz w:val="20"/>
        </w:rPr>
        <w:t>безрисковая</w:t>
      </w:r>
      <w:proofErr w:type="spellEnd"/>
      <w:r w:rsidR="00302CF4">
        <w:rPr>
          <w:rFonts w:eastAsia="Batang"/>
          <w:color w:val="000000"/>
          <w:sz w:val="20"/>
        </w:rPr>
        <w:t xml:space="preserve">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n) (</w:t>
      </w:r>
      <w:proofErr w:type="spellStart"/>
      <w:r w:rsidRPr="006527B0">
        <w:rPr>
          <w:rFonts w:eastAsia="Batang"/>
          <w:color w:val="000000"/>
          <w:sz w:val="20"/>
        </w:rPr>
        <w:t>Probability</w:t>
      </w:r>
      <w:proofErr w:type="spellEnd"/>
      <w:r w:rsidRPr="006527B0">
        <w:rPr>
          <w:rFonts w:eastAsia="Batang"/>
          <w:color w:val="000000"/>
          <w:sz w:val="20"/>
        </w:rPr>
        <w:t xml:space="preserve"> </w:t>
      </w:r>
      <w:proofErr w:type="spellStart"/>
      <w:r w:rsidRPr="006527B0">
        <w:rPr>
          <w:rFonts w:eastAsia="Batang"/>
          <w:color w:val="000000"/>
          <w:sz w:val="20"/>
        </w:rPr>
        <w:t>of</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xml:space="preserve">,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w:t>
      </w:r>
      <w:proofErr w:type="spellStart"/>
      <w:r w:rsidRPr="006527B0">
        <w:rPr>
          <w:rFonts w:eastAsia="Batang"/>
          <w:color w:val="000000"/>
          <w:sz w:val="20"/>
        </w:rPr>
        <w:t>Loss</w:t>
      </w:r>
      <w:proofErr w:type="spellEnd"/>
      <w:r w:rsidRPr="006527B0">
        <w:rPr>
          <w:rFonts w:eastAsia="Batang"/>
          <w:color w:val="000000"/>
          <w:sz w:val="20"/>
        </w:rPr>
        <w:t xml:space="preserve"> </w:t>
      </w:r>
      <w:proofErr w:type="spellStart"/>
      <w:r w:rsidRPr="006527B0">
        <w:rPr>
          <w:rFonts w:eastAsia="Batang"/>
          <w:color w:val="000000"/>
          <w:sz w:val="20"/>
        </w:rPr>
        <w:t>Given</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155587"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0D7A60B"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w:t>
      </w:r>
      <w:r w:rsidR="00A12DAB">
        <w:t>3</w:t>
      </w:r>
      <w:r w:rsidRPr="006527B0">
        <w:t xml:space="preserve">)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w:t>
      </w:r>
      <w:proofErr w:type="spellStart"/>
      <w:r w:rsidRPr="006527B0">
        <w:rPr>
          <w:lang w:val="ru-RU" w:eastAsia="en-US"/>
        </w:rPr>
        <w:t>просроч</w:t>
      </w:r>
      <w:proofErr w:type="spellEnd"/>
      <w:r w:rsidRPr="006527B0">
        <w:rPr>
          <w:lang w:val="ru-RU" w:eastAsia="en-US"/>
        </w:rPr>
        <w:t xml:space="preserve">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w:t>
      </w:r>
      <w:proofErr w:type="spellStart"/>
      <w:r w:rsidRPr="006527B0">
        <w:rPr>
          <w:lang w:val="ru-RU" w:eastAsia="en-US"/>
        </w:rPr>
        <w:t>просроч</w:t>
      </w:r>
      <w:proofErr w:type="spellEnd"/>
      <w:r w:rsidRPr="006527B0">
        <w:rPr>
          <w:lang w:val="ru-RU" w:eastAsia="en-US"/>
        </w:rPr>
        <w:t xml:space="preserve">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155587"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15558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15558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proofErr w:type="spellStart"/>
      <w:r w:rsidR="008C44C8" w:rsidRPr="006527B0">
        <w:rPr>
          <w:rFonts w:eastAsia="Batang"/>
          <w:color w:val="000000"/>
          <w:sz w:val="20"/>
          <w:lang w:val="en-GB"/>
        </w:rPr>
        <w:t>D</w:t>
      </w:r>
      <w:r w:rsidR="008C44C8" w:rsidRPr="006527B0">
        <w:rPr>
          <w:rFonts w:eastAsia="Batang"/>
          <w:color w:val="000000"/>
          <w:sz w:val="20"/>
          <w:vertAlign w:val="subscript"/>
          <w:lang w:val="en-GB"/>
        </w:rPr>
        <w:t>n</w:t>
      </w:r>
      <w:proofErr w:type="spellEnd"/>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proofErr w:type="spellStart"/>
      <w:r w:rsidR="002A1C07" w:rsidRPr="006527B0">
        <w:rPr>
          <w:rFonts w:eastAsia="Batang"/>
          <w:color w:val="000000"/>
          <w:sz w:val="20"/>
          <w:lang w:val="en-GB"/>
        </w:rPr>
        <w:t>D</w:t>
      </w:r>
      <w:r w:rsidR="002A1C07" w:rsidRPr="006527B0">
        <w:rPr>
          <w:rFonts w:eastAsia="Batang"/>
          <w:color w:val="000000"/>
          <w:sz w:val="20"/>
          <w:vertAlign w:val="subscript"/>
          <w:lang w:val="en-GB"/>
        </w:rPr>
        <w:t>n</w:t>
      </w:r>
      <w:proofErr w:type="spellEnd"/>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4D224D74" w:rsidR="00DA549B" w:rsidRPr="006527B0" w:rsidRDefault="0015558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w:t>
      </w:r>
      <w:proofErr w:type="spellStart"/>
      <w:r w:rsidR="00DA549B" w:rsidRPr="006527B0">
        <w:rPr>
          <w:rFonts w:eastAsia="Batang"/>
          <w:color w:val="000000"/>
          <w:sz w:val="20"/>
        </w:rPr>
        <w:t>ки</w:t>
      </w:r>
      <w:proofErr w:type="spellEnd"/>
      <w:r w:rsidR="00DA549B" w:rsidRPr="006527B0">
        <w:rPr>
          <w:rFonts w:eastAsia="Batang"/>
          <w:color w:val="000000"/>
          <w:sz w:val="20"/>
        </w:rPr>
        <w:t xml:space="preserve">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1"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272E13">
        <w:rPr>
          <w:rFonts w:eastAsia="Batang"/>
          <w:color w:val="000000"/>
          <w:sz w:val="20"/>
        </w:rPr>
        <w:t>RUONIA</w:t>
      </w:r>
      <w:r w:rsidR="00302CF4">
        <w:rPr>
          <w:rStyle w:val="af4"/>
          <w:rFonts w:eastAsia="Batang"/>
          <w:color w:val="000000"/>
          <w:sz w:val="20"/>
        </w:rPr>
        <w:footnoteReference w:id="13"/>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proofErr w:type="spellStart"/>
      <w:r w:rsidR="00302CF4">
        <w:rPr>
          <w:rFonts w:eastAsia="Batang"/>
          <w:color w:val="000000"/>
          <w:sz w:val="20"/>
        </w:rPr>
        <w:t>безрисковая</w:t>
      </w:r>
      <w:proofErr w:type="spellEnd"/>
      <w:r w:rsidR="00302CF4">
        <w:rPr>
          <w:rFonts w:eastAsia="Batang"/>
          <w:color w:val="000000"/>
          <w:sz w:val="20"/>
        </w:rPr>
        <w:t xml:space="preserve">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n) (</w:t>
      </w:r>
      <w:proofErr w:type="spellStart"/>
      <w:r w:rsidRPr="006527B0">
        <w:rPr>
          <w:rFonts w:eastAsia="Batang"/>
          <w:color w:val="000000"/>
          <w:sz w:val="20"/>
        </w:rPr>
        <w:t>Probability</w:t>
      </w:r>
      <w:proofErr w:type="spellEnd"/>
      <w:r w:rsidRPr="006527B0">
        <w:rPr>
          <w:rFonts w:eastAsia="Batang"/>
          <w:color w:val="000000"/>
          <w:sz w:val="20"/>
        </w:rPr>
        <w:t xml:space="preserve"> </w:t>
      </w:r>
      <w:proofErr w:type="spellStart"/>
      <w:r w:rsidRPr="006527B0">
        <w:rPr>
          <w:rFonts w:eastAsia="Batang"/>
          <w:color w:val="000000"/>
          <w:sz w:val="20"/>
        </w:rPr>
        <w:t>of</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xml:space="preserve">,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w:t>
      </w:r>
      <w:proofErr w:type="spellStart"/>
      <w:r w:rsidRPr="006527B0">
        <w:rPr>
          <w:rFonts w:eastAsia="Batang"/>
          <w:color w:val="000000"/>
          <w:sz w:val="20"/>
        </w:rPr>
        <w:t>Loss</w:t>
      </w:r>
      <w:proofErr w:type="spellEnd"/>
      <w:r w:rsidRPr="006527B0">
        <w:rPr>
          <w:rFonts w:eastAsia="Batang"/>
          <w:color w:val="000000"/>
          <w:sz w:val="20"/>
        </w:rPr>
        <w:t xml:space="preserve"> </w:t>
      </w:r>
      <w:proofErr w:type="spellStart"/>
      <w:r w:rsidRPr="006527B0">
        <w:rPr>
          <w:rFonts w:eastAsia="Batang"/>
          <w:color w:val="000000"/>
          <w:sz w:val="20"/>
        </w:rPr>
        <w:t>Given</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proofErr w:type="spellStart"/>
      <w:r w:rsidR="00092B55" w:rsidRPr="006527B0">
        <w:t>Moody’s</w:t>
      </w:r>
      <w:proofErr w:type="spellEnd"/>
      <w:r w:rsidR="00092B55" w:rsidRPr="006527B0">
        <w:t xml:space="preserve"> </w:t>
      </w:r>
      <w:proofErr w:type="spellStart"/>
      <w:r w:rsidR="00092B55" w:rsidRPr="006527B0">
        <w:t>Investors</w:t>
      </w:r>
      <w:proofErr w:type="spellEnd"/>
      <w:r w:rsidR="00092B55" w:rsidRPr="006527B0">
        <w:t xml:space="preserve"> </w:t>
      </w:r>
      <w:proofErr w:type="spellStart"/>
      <w:r w:rsidR="00092B55" w:rsidRPr="006527B0">
        <w:t>Service</w:t>
      </w:r>
      <w:proofErr w:type="spellEnd"/>
      <w:r w:rsidR="00A66A35" w:rsidRPr="006527B0">
        <w:rPr>
          <w:rStyle w:val="af4"/>
        </w:rPr>
        <w:footnoteReference w:id="14"/>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proofErr w:type="spellStart"/>
      <w:r w:rsidR="005B3735" w:rsidRPr="006527B0">
        <w:t>Fitch</w:t>
      </w:r>
      <w:proofErr w:type="spellEnd"/>
      <w:r w:rsidR="005B3735" w:rsidRPr="006527B0">
        <w:t xml:space="preserve"> </w:t>
      </w:r>
      <w:proofErr w:type="spellStart"/>
      <w:r w:rsidR="005B3735" w:rsidRPr="006527B0">
        <w:t>Ratings</w:t>
      </w:r>
      <w:proofErr w:type="spellEnd"/>
      <w:r w:rsidR="005B3735" w:rsidRPr="006527B0">
        <w:t xml:space="preserve">, S&amp;P </w:t>
      </w:r>
      <w:proofErr w:type="spellStart"/>
      <w:r w:rsidR="005B3735" w:rsidRPr="006527B0">
        <w:t>Global</w:t>
      </w:r>
      <w:proofErr w:type="spellEnd"/>
      <w:r w:rsidR="005B3735" w:rsidRPr="006527B0">
        <w:t xml:space="preserve"> </w:t>
      </w:r>
      <w:proofErr w:type="spellStart"/>
      <w:r w:rsidR="005B3735" w:rsidRPr="006527B0">
        <w:t>Ratings</w:t>
      </w:r>
      <w:proofErr w:type="spellEnd"/>
      <w:r w:rsidR="005B3735" w:rsidRPr="006527B0">
        <w:t>,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proofErr w:type="spellStart"/>
      <w:r w:rsidR="00092B55" w:rsidRPr="006527B0">
        <w:t>Moody’s</w:t>
      </w:r>
      <w:proofErr w:type="spellEnd"/>
      <w:r w:rsidR="00092B55" w:rsidRPr="006527B0">
        <w:t xml:space="preserve"> </w:t>
      </w:r>
      <w:proofErr w:type="spellStart"/>
      <w:r w:rsidR="00092B55" w:rsidRPr="006527B0">
        <w:t>Investors</w:t>
      </w:r>
      <w:proofErr w:type="spellEnd"/>
      <w:r w:rsidR="00092B55" w:rsidRPr="006527B0">
        <w:t xml:space="preserve"> </w:t>
      </w:r>
      <w:proofErr w:type="spellStart"/>
      <w:r w:rsidR="00092B55" w:rsidRPr="006527B0">
        <w:t>Service</w:t>
      </w:r>
      <w:proofErr w:type="spellEnd"/>
      <w:r w:rsidR="00092B55" w:rsidRPr="006527B0">
        <w:t xml:space="preserv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proofErr w:type="spellStart"/>
      <w:r w:rsidR="00092B55" w:rsidRPr="006527B0">
        <w:t>Fitch</w:t>
      </w:r>
      <w:proofErr w:type="spellEnd"/>
      <w:r w:rsidR="00092B55" w:rsidRPr="006527B0">
        <w:t xml:space="preserve"> </w:t>
      </w:r>
      <w:proofErr w:type="spellStart"/>
      <w:r w:rsidR="00092B55" w:rsidRPr="006527B0">
        <w:t>Ratings</w:t>
      </w:r>
      <w:proofErr w:type="spellEnd"/>
      <w:r w:rsidR="00092B55" w:rsidRPr="006527B0">
        <w:t xml:space="preserve">, S&amp;P </w:t>
      </w:r>
      <w:proofErr w:type="spellStart"/>
      <w:r w:rsidR="00092B55" w:rsidRPr="006527B0">
        <w:t>Global</w:t>
      </w:r>
      <w:proofErr w:type="spellEnd"/>
      <w:r w:rsidR="00092B55" w:rsidRPr="006527B0">
        <w:t xml:space="preserve"> </w:t>
      </w:r>
      <w:proofErr w:type="spellStart"/>
      <w:r w:rsidR="00092B55" w:rsidRPr="006527B0">
        <w:t>Ratings</w:t>
      </w:r>
      <w:proofErr w:type="spellEnd"/>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15"/>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16"/>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proofErr w:type="spellStart"/>
            <w:r w:rsidRPr="006527B0">
              <w:rPr>
                <w:b/>
                <w:bCs/>
                <w:color w:val="000000"/>
                <w:sz w:val="18"/>
                <w:szCs w:val="18"/>
              </w:rPr>
              <w:t>Moody`s</w:t>
            </w:r>
            <w:proofErr w:type="spellEnd"/>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proofErr w:type="spellStart"/>
            <w:r w:rsidRPr="006527B0">
              <w:rPr>
                <w:b/>
                <w:bCs/>
                <w:color w:val="000000"/>
                <w:sz w:val="18"/>
                <w:szCs w:val="18"/>
              </w:rPr>
              <w:t>Fitch</w:t>
            </w:r>
            <w:proofErr w:type="spellEnd"/>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proofErr w:type="spellStart"/>
            <w:r w:rsidRPr="006527B0">
              <w:rPr>
                <w:color w:val="000000"/>
                <w:sz w:val="18"/>
                <w:szCs w:val="18"/>
              </w:rPr>
              <w:t>ruAAA</w:t>
            </w:r>
            <w:proofErr w:type="spellEnd"/>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proofErr w:type="spellStart"/>
            <w:r w:rsidRPr="006527B0">
              <w:rPr>
                <w:color w:val="000000"/>
                <w:sz w:val="18"/>
                <w:szCs w:val="18"/>
              </w:rPr>
              <w:t>ruAA</w:t>
            </w:r>
            <w:proofErr w:type="spellEnd"/>
            <w:r w:rsidRPr="006527B0">
              <w:rPr>
                <w:color w:val="000000"/>
                <w:sz w:val="18"/>
                <w:szCs w:val="18"/>
              </w:rPr>
              <w:t xml:space="preserve">+, </w:t>
            </w:r>
            <w:proofErr w:type="spellStart"/>
            <w:r w:rsidRPr="006527B0">
              <w:rPr>
                <w:color w:val="000000"/>
                <w:sz w:val="18"/>
                <w:szCs w:val="18"/>
              </w:rPr>
              <w:t>ruAA</w:t>
            </w:r>
            <w:proofErr w:type="spellEnd"/>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proofErr w:type="spellStart"/>
            <w:r w:rsidRPr="006527B0">
              <w:rPr>
                <w:color w:val="000000"/>
                <w:sz w:val="18"/>
                <w:szCs w:val="18"/>
              </w:rPr>
              <w:t>ruAA</w:t>
            </w:r>
            <w:proofErr w:type="spellEnd"/>
            <w:r w:rsidRPr="006527B0">
              <w:rPr>
                <w:color w:val="000000"/>
                <w:sz w:val="18"/>
                <w:szCs w:val="18"/>
              </w:rPr>
              <w:t xml:space="preserve">-, </w:t>
            </w:r>
            <w:proofErr w:type="spellStart"/>
            <w:r w:rsidRPr="006527B0">
              <w:rPr>
                <w:color w:val="000000"/>
                <w:sz w:val="18"/>
                <w:szCs w:val="18"/>
              </w:rPr>
              <w:t>ruA</w:t>
            </w:r>
            <w:proofErr w:type="spellEnd"/>
            <w:r w:rsidRPr="006527B0">
              <w:rPr>
                <w:color w:val="000000"/>
                <w:sz w:val="18"/>
                <w:szCs w:val="18"/>
              </w:rPr>
              <w:t>+</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proofErr w:type="spellStart"/>
            <w:r w:rsidRPr="006527B0">
              <w:rPr>
                <w:color w:val="000000"/>
                <w:sz w:val="18"/>
                <w:szCs w:val="18"/>
              </w:rPr>
              <w:t>ruA</w:t>
            </w:r>
            <w:proofErr w:type="spellEnd"/>
            <w:r w:rsidRPr="006527B0">
              <w:rPr>
                <w:color w:val="000000"/>
                <w:sz w:val="18"/>
                <w:szCs w:val="18"/>
              </w:rPr>
              <w:t xml:space="preserve">, </w:t>
            </w:r>
            <w:proofErr w:type="spellStart"/>
            <w:r w:rsidRPr="006527B0">
              <w:rPr>
                <w:color w:val="000000"/>
                <w:sz w:val="18"/>
                <w:szCs w:val="18"/>
              </w:rPr>
              <w:t>ruA</w:t>
            </w:r>
            <w:proofErr w:type="spellEnd"/>
            <w:r w:rsidRPr="006527B0">
              <w:rPr>
                <w:color w:val="000000"/>
                <w:sz w:val="18"/>
                <w:szCs w:val="18"/>
              </w:rPr>
              <w:t xml:space="preserve">-, </w:t>
            </w:r>
            <w:proofErr w:type="spellStart"/>
            <w:r w:rsidRPr="006527B0">
              <w:rPr>
                <w:color w:val="000000"/>
                <w:sz w:val="18"/>
                <w:szCs w:val="18"/>
              </w:rPr>
              <w:t>ruBBB</w:t>
            </w:r>
            <w:proofErr w:type="spellEnd"/>
            <w:r w:rsidRPr="006527B0">
              <w:rPr>
                <w:color w:val="000000"/>
                <w:sz w:val="18"/>
                <w:szCs w:val="18"/>
              </w:rPr>
              <w:t>+</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proofErr w:type="spellStart"/>
            <w:r w:rsidRPr="006527B0">
              <w:rPr>
                <w:color w:val="000000"/>
                <w:sz w:val="18"/>
                <w:szCs w:val="18"/>
              </w:rPr>
              <w:t>ruBBB</w:t>
            </w:r>
            <w:proofErr w:type="spellEnd"/>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proofErr w:type="spellStart"/>
            <w:r w:rsidRPr="006527B0">
              <w:rPr>
                <w:color w:val="000000"/>
                <w:sz w:val="18"/>
                <w:szCs w:val="18"/>
              </w:rPr>
              <w:t>ruBBB</w:t>
            </w:r>
            <w:proofErr w:type="spellEnd"/>
            <w:r w:rsidRPr="006527B0">
              <w:rPr>
                <w:color w:val="000000"/>
                <w:sz w:val="18"/>
                <w:szCs w:val="18"/>
              </w:rPr>
              <w:t xml:space="preserve">-, </w:t>
            </w:r>
            <w:proofErr w:type="spellStart"/>
            <w:r w:rsidRPr="006527B0">
              <w:rPr>
                <w:color w:val="000000"/>
                <w:sz w:val="18"/>
                <w:szCs w:val="18"/>
              </w:rPr>
              <w:t>ruBB</w:t>
            </w:r>
            <w:proofErr w:type="spellEnd"/>
            <w:r w:rsidRPr="006527B0">
              <w:rPr>
                <w:color w:val="000000"/>
                <w:sz w:val="18"/>
                <w:szCs w:val="18"/>
              </w:rPr>
              <w:t>+</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proofErr w:type="spellStart"/>
            <w:r w:rsidRPr="006527B0">
              <w:rPr>
                <w:color w:val="000000"/>
                <w:sz w:val="18"/>
                <w:szCs w:val="18"/>
              </w:rPr>
              <w:t>ruBB</w:t>
            </w:r>
            <w:proofErr w:type="spellEnd"/>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proofErr w:type="spellStart"/>
            <w:r w:rsidRPr="006527B0">
              <w:rPr>
                <w:color w:val="000000"/>
                <w:sz w:val="18"/>
                <w:szCs w:val="18"/>
                <w:lang w:val="en-US"/>
              </w:rPr>
              <w:t>Caa</w:t>
            </w:r>
            <w:proofErr w:type="spellEnd"/>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w:t>
      </w:r>
      <w:proofErr w:type="spellStart"/>
      <w:r w:rsidRPr="006527B0">
        <w:t>странового</w:t>
      </w:r>
      <w:proofErr w:type="spellEnd"/>
      <w:r w:rsidRPr="006527B0">
        <w:t xml:space="preserve"> и отраслевого рисков. Корректировка на уровень </w:t>
      </w:r>
      <w:proofErr w:type="spellStart"/>
      <w:r w:rsidRPr="006527B0">
        <w:t>страновых</w:t>
      </w:r>
      <w:proofErr w:type="spellEnd"/>
      <w:r w:rsidRPr="006527B0">
        <w:t xml:space="preserve"> рисков производится на основе рейтингов кредитного климата страны и степени зависимости бизнеса </w:t>
      </w:r>
      <w:proofErr w:type="spellStart"/>
      <w:r w:rsidRPr="006527B0">
        <w:t>рейтингуемой</w:t>
      </w:r>
      <w:proofErr w:type="spellEnd"/>
      <w:r w:rsidRPr="006527B0">
        <w:t xml:space="preserve"> компании от </w:t>
      </w:r>
      <w:proofErr w:type="spellStart"/>
      <w:r w:rsidRPr="006527B0">
        <w:t>страновых</w:t>
      </w:r>
      <w:proofErr w:type="spellEnd"/>
      <w:r w:rsidRPr="006527B0">
        <w:t xml:space="preserve">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proofErr w:type="spellStart"/>
            <w:r w:rsidRPr="006527B0">
              <w:t>Страновые</w:t>
            </w:r>
            <w:proofErr w:type="spellEnd"/>
            <w:r w:rsidRPr="006527B0">
              <w:t xml:space="preserve">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proofErr w:type="spellStart"/>
            <w:r w:rsidRPr="006527B0">
              <w:rPr>
                <w:lang w:val="en-US"/>
              </w:rPr>
              <w:t>Свободный</w:t>
            </w:r>
            <w:proofErr w:type="spellEnd"/>
            <w:r w:rsidRPr="006527B0">
              <w:rPr>
                <w:lang w:val="en-US"/>
              </w:rPr>
              <w:t xml:space="preserve"> </w:t>
            </w:r>
            <w:proofErr w:type="spellStart"/>
            <w:r w:rsidRPr="006527B0">
              <w:rPr>
                <w:lang w:val="en-US"/>
              </w:rPr>
              <w:t>денежный</w:t>
            </w:r>
            <w:proofErr w:type="spellEnd"/>
            <w:r w:rsidRPr="006527B0">
              <w:rPr>
                <w:lang w:val="en-US"/>
              </w:rPr>
              <w:t xml:space="preserve"> </w:t>
            </w:r>
            <w:proofErr w:type="spellStart"/>
            <w:r w:rsidRPr="006527B0">
              <w:rPr>
                <w:lang w:val="en-US"/>
              </w:rPr>
              <w:t>поток</w:t>
            </w:r>
            <w:proofErr w:type="spellEnd"/>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proofErr w:type="spellStart"/>
      <w:r w:rsidRPr="006527B0">
        <w:rPr>
          <w:b/>
          <w:i/>
          <w:lang w:val="en-US"/>
        </w:rPr>
        <w:t>i</w:t>
      </w:r>
      <w:proofErr w:type="spellEnd"/>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proofErr w:type="spellStart"/>
      <w:r w:rsidRPr="006527B0">
        <w:rPr>
          <w:lang w:val="x-none"/>
        </w:rPr>
        <w:t>ебитора</w:t>
      </w:r>
      <w:proofErr w:type="spellEnd"/>
      <w:r w:rsidRPr="006527B0">
        <w:rPr>
          <w:lang w:val="x-none"/>
        </w:rPr>
        <w:t xml:space="preserve">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 xml:space="preserve">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w:t>
      </w:r>
      <w:proofErr w:type="spellStart"/>
      <w:r w:rsidRPr="006527B0">
        <w:t>странового</w:t>
      </w:r>
      <w:proofErr w:type="spellEnd"/>
      <w:r w:rsidRPr="006527B0">
        <w:t xml:space="preserve"> риска. Корректировка на уровень </w:t>
      </w:r>
      <w:proofErr w:type="spellStart"/>
      <w:r w:rsidRPr="006527B0">
        <w:t>страновых</w:t>
      </w:r>
      <w:proofErr w:type="spellEnd"/>
      <w:r w:rsidRPr="006527B0">
        <w:t xml:space="preserve"> рисков производится на основе рейтингов кредитного климата страны и степени зависимости бизнеса </w:t>
      </w:r>
      <w:proofErr w:type="spellStart"/>
      <w:r w:rsidRPr="006527B0">
        <w:t>рейтингуемой</w:t>
      </w:r>
      <w:proofErr w:type="spellEnd"/>
      <w:r w:rsidRPr="006527B0">
        <w:t xml:space="preserve"> кредитной организации от </w:t>
      </w:r>
      <w:proofErr w:type="spellStart"/>
      <w:r w:rsidRPr="006527B0">
        <w:t>страновых</w:t>
      </w:r>
      <w:proofErr w:type="spellEnd"/>
      <w:r w:rsidRPr="006527B0">
        <w:t xml:space="preserve">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proofErr w:type="spellStart"/>
            <w:r w:rsidRPr="006527B0">
              <w:t>Страновые</w:t>
            </w:r>
            <w:proofErr w:type="spellEnd"/>
            <w:r w:rsidRPr="006527B0">
              <w:t xml:space="preserve">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 xml:space="preserve">Оценка влияния </w:t>
            </w:r>
            <w:proofErr w:type="spellStart"/>
            <w:r w:rsidRPr="006527B0">
              <w:t>страновых</w:t>
            </w:r>
            <w:proofErr w:type="spellEnd"/>
            <w:r w:rsidRPr="006527B0">
              <w:t xml:space="preserve">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proofErr w:type="spellStart"/>
            <w:r w:rsidRPr="006527B0">
              <w:rPr>
                <w:lang w:val="en-US"/>
              </w:rPr>
              <w:t>Достаточность</w:t>
            </w:r>
            <w:proofErr w:type="spellEnd"/>
            <w:r w:rsidRPr="006527B0">
              <w:rPr>
                <w:lang w:val="en-US"/>
              </w:rPr>
              <w:t xml:space="preserve"> </w:t>
            </w:r>
            <w:proofErr w:type="spellStart"/>
            <w:r w:rsidRPr="006527B0">
              <w:rPr>
                <w:lang w:val="en-US"/>
              </w:rPr>
              <w:t>капитала</w:t>
            </w:r>
            <w:proofErr w:type="spellEnd"/>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proofErr w:type="spellStart"/>
            <w:r w:rsidRPr="006527B0">
              <w:rPr>
                <w:lang w:val="en-US"/>
              </w:rPr>
              <w:t>Рентабельность</w:t>
            </w:r>
            <w:proofErr w:type="spellEnd"/>
            <w:r w:rsidRPr="006527B0">
              <w:rPr>
                <w:lang w:val="en-US"/>
              </w:rPr>
              <w:t xml:space="preserve"> </w:t>
            </w:r>
            <w:proofErr w:type="spellStart"/>
            <w:r w:rsidRPr="006527B0">
              <w:rPr>
                <w:lang w:val="en-US"/>
              </w:rPr>
              <w:t>активов</w:t>
            </w:r>
            <w:proofErr w:type="spellEnd"/>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proofErr w:type="spellStart"/>
            <w:r w:rsidRPr="006527B0">
              <w:rPr>
                <w:lang w:val="en-US"/>
              </w:rPr>
              <w:t>Рентабельность</w:t>
            </w:r>
            <w:proofErr w:type="spellEnd"/>
            <w:r w:rsidRPr="006527B0">
              <w:rPr>
                <w:lang w:val="en-US"/>
              </w:rPr>
              <w:t xml:space="preserve">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proofErr w:type="spellStart"/>
      <w:r w:rsidRPr="006527B0">
        <w:rPr>
          <w:b/>
        </w:rPr>
        <w:t>Ki</w:t>
      </w:r>
      <w:proofErr w:type="spellEnd"/>
      <w:r w:rsidRPr="006527B0">
        <w:t xml:space="preserve"> – значение i-</w:t>
      </w:r>
      <w:proofErr w:type="spellStart"/>
      <w:r w:rsidRPr="006527B0">
        <w:t>го</w:t>
      </w:r>
      <w:proofErr w:type="spellEnd"/>
      <w:r w:rsidRPr="006527B0">
        <w:t xml:space="preserve"> критерия;</w:t>
      </w:r>
    </w:p>
    <w:p w14:paraId="424019D4" w14:textId="77777777" w:rsidR="005075CB" w:rsidRPr="006527B0" w:rsidRDefault="005075CB" w:rsidP="005075CB">
      <w:pPr>
        <w:ind w:firstLine="709"/>
      </w:pPr>
      <w:proofErr w:type="spellStart"/>
      <w:r w:rsidRPr="006527B0">
        <w:rPr>
          <w:b/>
        </w:rPr>
        <w:t>Xi</w:t>
      </w:r>
      <w:proofErr w:type="spellEnd"/>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59A47A98" w:rsidR="00CE0C3F" w:rsidRPr="006527B0" w:rsidRDefault="00CE0C3F" w:rsidP="00CE0C3F">
      <w:pPr>
        <w:pStyle w:val="10"/>
        <w:ind w:left="360"/>
        <w:jc w:val="right"/>
        <w:rPr>
          <w:rFonts w:ascii="Times New Roman" w:hAnsi="Times New Roman"/>
          <w:b/>
          <w:color w:val="auto"/>
          <w:sz w:val="24"/>
          <w:szCs w:val="24"/>
        </w:rPr>
      </w:pPr>
      <w:bookmarkStart w:id="115" w:name="_Toc122620538"/>
      <w:r w:rsidRPr="006527B0">
        <w:rPr>
          <w:rFonts w:ascii="Times New Roman" w:hAnsi="Times New Roman"/>
          <w:b/>
          <w:color w:val="auto"/>
          <w:sz w:val="24"/>
          <w:szCs w:val="24"/>
        </w:rPr>
        <w:lastRenderedPageBreak/>
        <w:t xml:space="preserve">Приложение </w:t>
      </w:r>
      <w:r w:rsidR="00EA6CA7">
        <w:rPr>
          <w:rFonts w:ascii="Times New Roman" w:hAnsi="Times New Roman"/>
          <w:b/>
          <w:color w:val="auto"/>
          <w:sz w:val="24"/>
          <w:szCs w:val="24"/>
          <w:lang w:val="ru-RU"/>
        </w:rPr>
        <w:t>3</w:t>
      </w:r>
      <w:r w:rsidRPr="006527B0">
        <w:rPr>
          <w:rFonts w:ascii="Times New Roman" w:hAnsi="Times New Roman"/>
          <w:b/>
          <w:color w:val="auto"/>
          <w:sz w:val="24"/>
          <w:szCs w:val="24"/>
        </w:rPr>
        <w:t>.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15"/>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17"/>
            </w:r>
            <w:r w:rsidRPr="006527B0">
              <w:rPr>
                <w:rFonts w:eastAsia="Times New Roman"/>
                <w:b/>
                <w:bCs/>
                <w:lang w:eastAsia="ru-RU"/>
              </w:rPr>
              <w:t>)</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lastRenderedPageBreak/>
        <w:t>Особые условия, применяемые для оценки и обесценения дебиторской задолженности, не указанной в таблице выше:</w:t>
      </w:r>
    </w:p>
    <w:p w14:paraId="3F29C45F" w14:textId="0278384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w:t>
      </w:r>
      <w:r w:rsidR="00A12DAB">
        <w:t>Приложении 2</w:t>
      </w:r>
      <w:r w:rsidRPr="006527B0">
        <w:t>, по истечении 25 рабочих дней с даты окончания срока оказания услуг, установленной условиями договора;</w:t>
      </w:r>
    </w:p>
    <w:p w14:paraId="405F4974" w14:textId="6434B05C"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w:t>
      </w:r>
      <w:r w:rsidR="00A12DAB">
        <w:t>Приложении 2</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610DED37" w:rsidR="00E208C2" w:rsidRPr="006527B0" w:rsidRDefault="00E208C2" w:rsidP="00410D9B">
      <w:pPr>
        <w:pStyle w:val="10"/>
        <w:ind w:left="360"/>
        <w:jc w:val="right"/>
        <w:rPr>
          <w:b/>
          <w:sz w:val="24"/>
          <w:szCs w:val="24"/>
        </w:rPr>
      </w:pPr>
      <w:bookmarkStart w:id="116" w:name="_Toc122620539"/>
      <w:r w:rsidRPr="006527B0">
        <w:rPr>
          <w:rFonts w:ascii="Times New Roman" w:hAnsi="Times New Roman"/>
          <w:b/>
          <w:color w:val="auto"/>
          <w:sz w:val="24"/>
          <w:szCs w:val="24"/>
        </w:rPr>
        <w:lastRenderedPageBreak/>
        <w:t xml:space="preserve">Приложение </w:t>
      </w:r>
      <w:r w:rsidR="00EA6CA7">
        <w:rPr>
          <w:rFonts w:ascii="Times New Roman" w:hAnsi="Times New Roman"/>
          <w:b/>
          <w:color w:val="auto"/>
          <w:sz w:val="24"/>
          <w:szCs w:val="24"/>
          <w:lang w:val="ru-RU"/>
        </w:rPr>
        <w:t>4</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16"/>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64ECC2B8" w14:textId="3354F9A8" w:rsidR="00410D9B" w:rsidRDefault="00410D9B" w:rsidP="00166F3F">
      <w:pPr>
        <w:pStyle w:val="a4"/>
        <w:numPr>
          <w:ilvl w:val="0"/>
          <w:numId w:val="50"/>
        </w:numPr>
        <w:ind w:left="0" w:firstLine="709"/>
      </w:pPr>
      <w:r w:rsidRPr="006527B0">
        <w:t>Недвижимое имущество;</w:t>
      </w:r>
    </w:p>
    <w:p w14:paraId="3E7462CA" w14:textId="77777777" w:rsidR="00DA47C9" w:rsidRPr="006527B0" w:rsidRDefault="00DA47C9" w:rsidP="00DA47C9">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39D5B194" w14:textId="4EF8D0FB" w:rsidR="00CA3F05" w:rsidRDefault="00C37C10" w:rsidP="00EA6CA7">
      <w:pPr>
        <w:jc w:val="left"/>
      </w:pPr>
      <w:r w:rsidRPr="006527B0">
        <w:br w:type="page"/>
      </w:r>
    </w:p>
    <w:p w14:paraId="73D6CF0D" w14:textId="41D1017D" w:rsidR="00803EF1" w:rsidRPr="00D9164A" w:rsidRDefault="00803EF1" w:rsidP="00803EF1">
      <w:pPr>
        <w:pStyle w:val="10"/>
        <w:spacing w:before="0"/>
        <w:ind w:left="360"/>
        <w:contextualSpacing/>
        <w:jc w:val="right"/>
        <w:rPr>
          <w:rFonts w:ascii="Times New Roman" w:hAnsi="Times New Roman"/>
          <w:b/>
          <w:sz w:val="24"/>
          <w:szCs w:val="24"/>
        </w:rPr>
      </w:pPr>
      <w:bookmarkStart w:id="117" w:name="_Toc122620540"/>
      <w:r w:rsidRPr="001866A3">
        <w:rPr>
          <w:rFonts w:ascii="Times New Roman" w:hAnsi="Times New Roman"/>
          <w:b/>
          <w:color w:val="auto"/>
          <w:sz w:val="24"/>
          <w:szCs w:val="24"/>
          <w:lang w:val="ru-RU"/>
        </w:rPr>
        <w:lastRenderedPageBreak/>
        <w:t xml:space="preserve">Приложение </w:t>
      </w:r>
      <w:r w:rsidR="00EA6CA7">
        <w:rPr>
          <w:rFonts w:ascii="Times New Roman" w:hAnsi="Times New Roman"/>
          <w:b/>
          <w:color w:val="auto"/>
          <w:sz w:val="24"/>
          <w:szCs w:val="24"/>
          <w:lang w:val="ru-RU"/>
        </w:rPr>
        <w:t>5</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17"/>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64DED63A"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272E13" w:rsidRPr="00DB3503">
        <w:t xml:space="preserve">01.01.2023. Источник: </w:t>
      </w:r>
      <w:hyperlink r:id="rId32" w:history="1">
        <w:r w:rsidR="00272E13"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w:t>
      </w:r>
      <w:r w:rsidR="00EA6CA7">
        <w:t>2</w:t>
      </w:r>
      <w:r w:rsidRPr="00803EF1">
        <w:t xml:space="preserve">.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50791E54" w:rsidR="00803EF1" w:rsidRPr="00803EF1" w:rsidRDefault="00272E13"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w:t>
      </w:r>
      <w:proofErr w:type="spellStart"/>
      <w:r w:rsidRPr="00DB3503">
        <w:t>Speculative</w:t>
      </w:r>
      <w:proofErr w:type="spellEnd"/>
      <w:r w:rsidRPr="00DB3503">
        <w:t xml:space="preserve"> </w:t>
      </w:r>
      <w:proofErr w:type="spellStart"/>
      <w:r w:rsidRPr="00DB3503">
        <w:t>Grade</w:t>
      </w:r>
      <w:proofErr w:type="spellEnd"/>
      <w:r w:rsidRPr="00DB3503">
        <w:t xml:space="preserve"> от агентства </w:t>
      </w:r>
      <w:proofErr w:type="spellStart"/>
      <w:r w:rsidRPr="00DB3503">
        <w:t>Moody’s</w:t>
      </w:r>
      <w:proofErr w:type="spellEnd"/>
      <w:r w:rsidRPr="00DB3503">
        <w:t xml:space="preserve"> на основании актуального отчета по ежегодному исследованию корпоративных дефолтов (</w:t>
      </w:r>
      <w:proofErr w:type="spellStart"/>
      <w:r w:rsidRPr="00DB3503">
        <w:t>Annual</w:t>
      </w:r>
      <w:proofErr w:type="spellEnd"/>
      <w:r w:rsidRPr="00DB3503">
        <w:t xml:space="preserve"> </w:t>
      </w:r>
      <w:proofErr w:type="spellStart"/>
      <w:r w:rsidRPr="00DB3503">
        <w:t>default</w:t>
      </w:r>
      <w:proofErr w:type="spellEnd"/>
      <w:r w:rsidRPr="00DB3503">
        <w:t xml:space="preserve"> </w:t>
      </w:r>
      <w:proofErr w:type="spellStart"/>
      <w:r w:rsidRPr="00DB3503">
        <w:t>study</w:t>
      </w:r>
      <w:proofErr w:type="spellEnd"/>
      <w:r w:rsidRPr="00DB3503">
        <w:t xml:space="preserve">) с применением соответствия уровней рейтингов, </w:t>
      </w:r>
      <w:r w:rsidRPr="00DB3503">
        <w:rPr>
          <w:b/>
        </w:rPr>
        <w:t xml:space="preserve">Таблица </w:t>
      </w:r>
      <w:proofErr w:type="spellStart"/>
      <w:r w:rsidRPr="00DB3503">
        <w:rPr>
          <w:b/>
        </w:rPr>
        <w:t>Exhibit</w:t>
      </w:r>
      <w:proofErr w:type="spellEnd"/>
      <w:r w:rsidRPr="00DB3503">
        <w:rPr>
          <w:b/>
        </w:rPr>
        <w:t xml:space="preserve">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w:t>
      </w:r>
      <w:proofErr w:type="spellStart"/>
      <w:r w:rsidRPr="00803EF1">
        <w:t>Moody’s</w:t>
      </w:r>
      <w:proofErr w:type="spellEnd"/>
      <w:r w:rsidRPr="00803EF1">
        <w:t xml:space="preserve"> через сопоставление рейтингов российских рейтинговых агентств. </w:t>
      </w:r>
    </w:p>
    <w:p w14:paraId="34229CF0" w14:textId="42A9B21E" w:rsidR="00803EF1" w:rsidRPr="00803EF1" w:rsidRDefault="00272E13"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w:t>
      </w:r>
      <w:proofErr w:type="spellStart"/>
      <w:r w:rsidRPr="00DB3503">
        <w:t>Moody’s</w:t>
      </w:r>
      <w:proofErr w:type="spellEnd"/>
      <w:r w:rsidRPr="00DB3503">
        <w:t xml:space="preserve"> по ежегодному исследованию корпоративных дефолтов (</w:t>
      </w:r>
      <w:proofErr w:type="spellStart"/>
      <w:r w:rsidRPr="00DB3503">
        <w:t>Annual</w:t>
      </w:r>
      <w:proofErr w:type="spellEnd"/>
      <w:r w:rsidRPr="00DB3503">
        <w:t xml:space="preserve"> </w:t>
      </w:r>
      <w:proofErr w:type="spellStart"/>
      <w:r w:rsidRPr="00DB3503">
        <w:t>default</w:t>
      </w:r>
      <w:proofErr w:type="spellEnd"/>
      <w:r w:rsidRPr="00DB3503">
        <w:t xml:space="preserve"> </w:t>
      </w:r>
      <w:proofErr w:type="spellStart"/>
      <w:r w:rsidRPr="00DB3503">
        <w:t>study</w:t>
      </w:r>
      <w:proofErr w:type="spellEnd"/>
      <w:r w:rsidRPr="00DB3503">
        <w:t xml:space="preserve">) таблица </w:t>
      </w:r>
      <w:proofErr w:type="spellStart"/>
      <w:r w:rsidRPr="00DB3503">
        <w:rPr>
          <w:b/>
        </w:rPr>
        <w:t>Exhibit</w:t>
      </w:r>
      <w:proofErr w:type="spellEnd"/>
      <w:r w:rsidRPr="00DB3503">
        <w:rPr>
          <w:b/>
        </w:rPr>
        <w:t xml:space="preserve"> 28. </w:t>
      </w:r>
      <w:proofErr w:type="spellStart"/>
      <w:r w:rsidRPr="00DB3503">
        <w:rPr>
          <w:b/>
        </w:rPr>
        <w:t>Average</w:t>
      </w:r>
      <w:proofErr w:type="spellEnd"/>
      <w:r w:rsidRPr="00DB3503">
        <w:rPr>
          <w:b/>
        </w:rPr>
        <w:t xml:space="preserve"> </w:t>
      </w:r>
      <w:proofErr w:type="spellStart"/>
      <w:r w:rsidRPr="00DB3503">
        <w:rPr>
          <w:b/>
        </w:rPr>
        <w:t>senior</w:t>
      </w:r>
      <w:proofErr w:type="spellEnd"/>
      <w:r w:rsidRPr="00DB3503">
        <w:rPr>
          <w:b/>
        </w:rPr>
        <w:t xml:space="preserve"> </w:t>
      </w:r>
      <w:proofErr w:type="spellStart"/>
      <w:r w:rsidRPr="00DB3503">
        <w:rPr>
          <w:b/>
        </w:rPr>
        <w:t>unsecured</w:t>
      </w:r>
      <w:proofErr w:type="spellEnd"/>
      <w:r w:rsidRPr="00DB3503">
        <w:rPr>
          <w:b/>
        </w:rPr>
        <w:t xml:space="preserve"> </w:t>
      </w:r>
      <w:proofErr w:type="spellStart"/>
      <w:r w:rsidRPr="00DB3503">
        <w:rPr>
          <w:b/>
        </w:rPr>
        <w:t>bond</w:t>
      </w:r>
      <w:proofErr w:type="spellEnd"/>
      <w:r w:rsidRPr="00DB3503">
        <w:rPr>
          <w:b/>
        </w:rPr>
        <w:t xml:space="preserve"> </w:t>
      </w:r>
      <w:proofErr w:type="spellStart"/>
      <w:r w:rsidRPr="00DB3503">
        <w:rPr>
          <w:b/>
        </w:rPr>
        <w:t>recovery</w:t>
      </w:r>
      <w:proofErr w:type="spellEnd"/>
      <w:r w:rsidRPr="00DB3503">
        <w:rPr>
          <w:b/>
        </w:rPr>
        <w:t xml:space="preserve"> </w:t>
      </w:r>
      <w:proofErr w:type="spellStart"/>
      <w:r w:rsidRPr="00DB3503">
        <w:rPr>
          <w:b/>
        </w:rPr>
        <w:t>rates</w:t>
      </w:r>
      <w:proofErr w:type="spellEnd"/>
      <w:r w:rsidRPr="00DB3503">
        <w:rPr>
          <w:b/>
        </w:rPr>
        <w:t xml:space="preserve"> </w:t>
      </w:r>
      <w:proofErr w:type="spellStart"/>
      <w:r w:rsidRPr="00DB3503">
        <w:rPr>
          <w:b/>
        </w:rPr>
        <w:t>by</w:t>
      </w:r>
      <w:proofErr w:type="spellEnd"/>
      <w:r w:rsidRPr="00DB3503">
        <w:rPr>
          <w:b/>
        </w:rPr>
        <w:t xml:space="preserve"> </w:t>
      </w:r>
      <w:proofErr w:type="spellStart"/>
      <w:r w:rsidRPr="00DB3503">
        <w:rPr>
          <w:b/>
        </w:rPr>
        <w:t>year</w:t>
      </w:r>
      <w:proofErr w:type="spellEnd"/>
      <w:r w:rsidRPr="00DB3503">
        <w:rPr>
          <w:b/>
        </w:rPr>
        <w:t xml:space="preserve"> </w:t>
      </w:r>
      <w:proofErr w:type="spellStart"/>
      <w:r w:rsidRPr="00DB3503">
        <w:rPr>
          <w:b/>
        </w:rPr>
        <w:t>before</w:t>
      </w:r>
      <w:proofErr w:type="spellEnd"/>
      <w:r w:rsidRPr="00DB3503">
        <w:rPr>
          <w:b/>
        </w:rPr>
        <w:t xml:space="preserve"> </w:t>
      </w:r>
      <w:proofErr w:type="spellStart"/>
      <w:r w:rsidRPr="00DB3503">
        <w:rPr>
          <w:b/>
        </w:rPr>
        <w:t>default</w:t>
      </w:r>
      <w:proofErr w:type="spellEnd"/>
      <w:r w:rsidRPr="00DB3503">
        <w:rPr>
          <w:b/>
        </w:rPr>
        <w: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w:t>
      </w:r>
      <w:proofErr w:type="spellStart"/>
      <w:r w:rsidRPr="00DB3503">
        <w:t>recovery</w:t>
      </w:r>
      <w:proofErr w:type="spellEnd"/>
      <w:r w:rsidRPr="00DB3503">
        <w:t xml:space="preserve"> </w:t>
      </w:r>
      <w:proofErr w:type="spellStart"/>
      <w:r w:rsidRPr="00DB3503">
        <w:t>rate</w:t>
      </w:r>
      <w:proofErr w:type="spellEnd"/>
      <w:r w:rsidR="00803EF1" w:rsidRPr="00803EF1">
        <w:rPr>
          <w:rStyle w:val="af4"/>
        </w:rPr>
        <w:footnoteReference w:id="18"/>
      </w:r>
      <w:r w:rsidR="00803EF1" w:rsidRPr="00803EF1">
        <w:t xml:space="preserve">.  </w:t>
      </w:r>
    </w:p>
    <w:p w14:paraId="2EEB6C8B" w14:textId="18AF2F1F"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w:t>
      </w:r>
      <w:r w:rsidR="00EA6CA7">
        <w:t>2</w:t>
      </w:r>
      <w:r w:rsidRPr="00803EF1">
        <w:t xml:space="preserve">. «Методика оценки кредитного риска контрагента» определяется рейтинг рейтингового агентства </w:t>
      </w:r>
      <w:proofErr w:type="spellStart"/>
      <w:r w:rsidRPr="00803EF1">
        <w:t>Moody’s</w:t>
      </w:r>
      <w:proofErr w:type="spellEnd"/>
      <w:r w:rsidRPr="00803EF1">
        <w:t xml:space="preserve">.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w:t>
      </w:r>
      <w:proofErr w:type="spellStart"/>
      <w:r w:rsidRPr="00803EF1">
        <w:t>Moody’s</w:t>
      </w:r>
      <w:proofErr w:type="spellEnd"/>
      <w:r w:rsidRPr="00803EF1">
        <w:t xml:space="preserve">.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w:t>
      </w:r>
      <w:proofErr w:type="spellStart"/>
      <w:r w:rsidRPr="00803EF1">
        <w:t>Moody’s</w:t>
      </w:r>
      <w:proofErr w:type="spellEnd"/>
      <w:r w:rsidRPr="00803EF1">
        <w:t xml:space="preserve">,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w:t>
      </w:r>
      <w:proofErr w:type="spellStart"/>
      <w:r w:rsidRPr="00803EF1">
        <w:t>recovery</w:t>
      </w:r>
      <w:proofErr w:type="spellEnd"/>
      <w:r w:rsidRPr="00803EF1">
        <w:t xml:space="preserve"> </w:t>
      </w:r>
      <w:proofErr w:type="spellStart"/>
      <w:r w:rsidRPr="00803EF1">
        <w:t>rates</w:t>
      </w:r>
      <w:proofErr w:type="spellEnd"/>
      <w:r w:rsidRPr="00803EF1">
        <w:t xml:space="preserve"> для </w:t>
      </w:r>
      <w:proofErr w:type="spellStart"/>
      <w:r w:rsidRPr="00803EF1">
        <w:t>Speculative</w:t>
      </w:r>
      <w:proofErr w:type="spellEnd"/>
      <w:r w:rsidRPr="00803EF1">
        <w:t xml:space="preserve"> </w:t>
      </w:r>
      <w:proofErr w:type="spellStart"/>
      <w:r w:rsidRPr="00803EF1">
        <w:t>Grade</w:t>
      </w:r>
      <w:proofErr w:type="spellEnd"/>
      <w:r w:rsidRPr="00803EF1">
        <w:t>.</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 xml:space="preserve">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w:t>
      </w:r>
      <w:proofErr w:type="spellStart"/>
      <w:r w:rsidRPr="00166F3F">
        <w:t>депозитарно</w:t>
      </w:r>
      <w:proofErr w:type="spellEnd"/>
      <w:r w:rsidRPr="00166F3F">
        <w:t>-клиринговых компаний (в т. ч. международных расчётно-клиринговых центров «</w:t>
      </w:r>
      <w:proofErr w:type="spellStart"/>
      <w:r w:rsidRPr="00166F3F">
        <w:t>Евроклир</w:t>
      </w:r>
      <w:proofErr w:type="spellEnd"/>
      <w:r w:rsidRPr="00166F3F">
        <w:t xml:space="preserve"> Банк», г. Брюссель, и «</w:t>
      </w:r>
      <w:proofErr w:type="spellStart"/>
      <w:r w:rsidRPr="00166F3F">
        <w:t>Клирстрим</w:t>
      </w:r>
      <w:proofErr w:type="spellEnd"/>
      <w:r w:rsidRPr="00166F3F">
        <w:t xml:space="preserve"> </w:t>
      </w:r>
      <w:proofErr w:type="spellStart"/>
      <w:r w:rsidRPr="00166F3F">
        <w:t>Бэнкинг</w:t>
      </w:r>
      <w:proofErr w:type="spellEnd"/>
      <w:r w:rsidRPr="00166F3F">
        <w:t xml:space="preserve">», г. Люксембург), иностранных банков или иных </w:t>
      </w:r>
      <w:proofErr w:type="spellStart"/>
      <w:r w:rsidRPr="00166F3F">
        <w:t>санкционных</w:t>
      </w:r>
      <w:proofErr w:type="spellEnd"/>
      <w:r w:rsidRPr="00166F3F">
        <w:t xml:space="preserve">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 xml:space="preserve">4. Определение </w:t>
      </w:r>
      <w:proofErr w:type="spellStart"/>
      <w:r w:rsidRPr="00803EF1">
        <w:rPr>
          <w:b/>
        </w:rPr>
        <w:t>безрисковой</w:t>
      </w:r>
      <w:proofErr w:type="spellEnd"/>
      <w:r w:rsidRPr="00803EF1">
        <w:rPr>
          <w:b/>
        </w:rPr>
        <w:t xml:space="preserve">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 xml:space="preserve">В качестве </w:t>
      </w:r>
      <w:proofErr w:type="spellStart"/>
      <w:r w:rsidRPr="00803EF1">
        <w:t>безрисковой</w:t>
      </w:r>
      <w:proofErr w:type="spellEnd"/>
      <w:r w:rsidRPr="00803EF1">
        <w:t xml:space="preserve"> ставки применяется следующие ставки:</w:t>
      </w:r>
    </w:p>
    <w:p w14:paraId="1DE5E8E6" w14:textId="765623C2"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272E13">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w:t>
      </w:r>
      <w:proofErr w:type="spellStart"/>
      <w:r w:rsidRPr="00803EF1">
        <w:t>ROISFix</w:t>
      </w:r>
      <w:proofErr w:type="spellEnd"/>
      <w:r w:rsidRPr="00803EF1">
        <w:t xml:space="preserve">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D84768" w:rsidRDefault="00D84768" w:rsidP="00C31E51">
      <w:r>
        <w:separator/>
      </w:r>
    </w:p>
  </w:endnote>
  <w:endnote w:type="continuationSeparator" w:id="0">
    <w:p w14:paraId="13E012AA" w14:textId="77777777" w:rsidR="00D84768" w:rsidRDefault="00D84768" w:rsidP="00C31E51">
      <w:r>
        <w:continuationSeparator/>
      </w:r>
    </w:p>
  </w:endnote>
  <w:endnote w:type="continuationNotice" w:id="1">
    <w:p w14:paraId="196FC3BF" w14:textId="77777777" w:rsidR="00D84768" w:rsidRDefault="00D84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7C255001" w:rsidR="00D84768" w:rsidRDefault="00D84768">
    <w:pPr>
      <w:pStyle w:val="af9"/>
      <w:jc w:val="right"/>
    </w:pPr>
    <w:r>
      <w:fldChar w:fldCharType="begin"/>
    </w:r>
    <w:r>
      <w:instrText>PAGE   \* MERGEFORMAT</w:instrText>
    </w:r>
    <w:r>
      <w:fldChar w:fldCharType="separate"/>
    </w:r>
    <w:r w:rsidR="00155587">
      <w:rPr>
        <w:noProof/>
      </w:rPr>
      <w:t>38</w:t>
    </w:r>
    <w:r>
      <w:fldChar w:fldCharType="end"/>
    </w:r>
  </w:p>
  <w:p w14:paraId="426006DE" w14:textId="77777777" w:rsidR="00D84768" w:rsidRDefault="00D8476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D84768" w:rsidRDefault="00D84768" w:rsidP="00C31E51">
      <w:r>
        <w:separator/>
      </w:r>
    </w:p>
  </w:footnote>
  <w:footnote w:type="continuationSeparator" w:id="0">
    <w:p w14:paraId="7506B7AD" w14:textId="77777777" w:rsidR="00D84768" w:rsidRDefault="00D84768" w:rsidP="00C31E51">
      <w:r>
        <w:continuationSeparator/>
      </w:r>
    </w:p>
  </w:footnote>
  <w:footnote w:type="continuationNotice" w:id="1">
    <w:p w14:paraId="1F1ADF83" w14:textId="77777777" w:rsidR="00D84768" w:rsidRDefault="00D84768"/>
  </w:footnote>
  <w:footnote w:id="2">
    <w:p w14:paraId="1735DD1B" w14:textId="77777777" w:rsidR="00D84768" w:rsidRDefault="00D84768">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F670B9D" w14:textId="77777777" w:rsidR="00D84768" w:rsidRDefault="00D84768"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D84768" w:rsidRPr="00F26C7C" w:rsidRDefault="00D84768"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D84768" w:rsidRPr="00F26C7C" w:rsidRDefault="00D84768"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D84768" w:rsidRPr="00F26C7C" w:rsidRDefault="00D84768"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4B3F6452" w14:textId="77777777" w:rsidR="00D84768" w:rsidRDefault="00D84768"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5">
    <w:p w14:paraId="59F87381" w14:textId="77777777" w:rsidR="00D84768" w:rsidRDefault="00D84768" w:rsidP="00F965B1">
      <w:pPr>
        <w:pStyle w:val="af2"/>
        <w:rPr>
          <w:sz w:val="16"/>
        </w:rPr>
      </w:pPr>
      <w:r w:rsidRPr="00F965B1">
        <w:rPr>
          <w:rStyle w:val="af4"/>
          <w:sz w:val="16"/>
        </w:rPr>
        <w:footnoteRef/>
      </w:r>
      <w:r w:rsidRPr="00F965B1">
        <w:rPr>
          <w:sz w:val="16"/>
        </w:rPr>
        <w:t xml:space="preserve"> </w:t>
      </w:r>
      <w:r w:rsidRPr="00F965B1">
        <w:rPr>
          <w:sz w:val="16"/>
        </w:rPr>
        <w:t>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D84768" w:rsidRPr="009716E9" w:rsidRDefault="00D84768"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D84768" w:rsidRPr="009716E9" w:rsidRDefault="00D84768"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D84768" w:rsidRDefault="00D84768"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D84768" w:rsidRPr="00CE655A" w:rsidRDefault="00D84768"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6">
    <w:p w14:paraId="42B29134" w14:textId="77777777" w:rsidR="00D84768" w:rsidRPr="00A72DAF" w:rsidRDefault="00D84768">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7">
    <w:p w14:paraId="7087E3B0" w14:textId="77777777" w:rsidR="00D84768" w:rsidRPr="00584D15" w:rsidRDefault="00D84768"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8">
    <w:p w14:paraId="2836B859" w14:textId="77777777" w:rsidR="00D84768" w:rsidRPr="00166F3F" w:rsidRDefault="00D84768" w:rsidP="00584D15">
      <w:pPr>
        <w:pStyle w:val="af2"/>
        <w:rPr>
          <w:sz w:val="16"/>
          <w:szCs w:val="16"/>
          <w:lang w:val="ru-RU"/>
        </w:rPr>
      </w:pPr>
      <w:r w:rsidRPr="00584D15">
        <w:rPr>
          <w:rStyle w:val="af4"/>
          <w:sz w:val="16"/>
          <w:szCs w:val="16"/>
        </w:rPr>
        <w:footnoteRef/>
      </w:r>
      <w:r w:rsidRPr="00584D15">
        <w:rPr>
          <w:sz w:val="16"/>
          <w:szCs w:val="16"/>
        </w:rPr>
        <w:t xml:space="preserve"> </w:t>
      </w:r>
      <w:r w:rsidRPr="00584D15">
        <w:rPr>
          <w:sz w:val="16"/>
          <w:szCs w:val="16"/>
        </w:rPr>
        <w:t xml:space="preserve">Источник: </w:t>
      </w:r>
      <w:hyperlink r:id="rId3" w:history="1">
        <w:r w:rsidRPr="00025BB8">
          <w:rPr>
            <w:rStyle w:val="ae"/>
            <w:sz w:val="16"/>
            <w:szCs w:val="16"/>
          </w:rPr>
          <w:t>https://www.sofrrate.com/</w:t>
        </w:r>
      </w:hyperlink>
      <w:r>
        <w:rPr>
          <w:sz w:val="16"/>
          <w:szCs w:val="16"/>
          <w:lang w:val="ru-RU"/>
        </w:rPr>
        <w:t xml:space="preserve"> </w:t>
      </w:r>
    </w:p>
  </w:footnote>
  <w:footnote w:id="9">
    <w:p w14:paraId="564AE6E7" w14:textId="77777777" w:rsidR="00D84768" w:rsidRPr="00584D15" w:rsidRDefault="00D84768"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0">
    <w:p w14:paraId="12890B14" w14:textId="77777777" w:rsidR="00D84768" w:rsidRDefault="00D84768"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1">
    <w:p w14:paraId="006A26CA" w14:textId="6745C99F" w:rsidR="00D84768" w:rsidRPr="0045107C" w:rsidRDefault="00D84768" w:rsidP="00302CF4">
      <w:pPr>
        <w:pStyle w:val="af2"/>
        <w:rPr>
          <w:lang w:val="ru-RU"/>
        </w:rPr>
      </w:pPr>
      <w:r>
        <w:rPr>
          <w:rStyle w:val="af4"/>
        </w:rPr>
        <w:footnoteRef/>
      </w:r>
      <w:r>
        <w:t xml:space="preserve"> </w:t>
      </w:r>
      <w:r w:rsidRPr="0045107C">
        <w:rPr>
          <w:sz w:val="16"/>
          <w:lang w:val="ru-RU"/>
        </w:rPr>
        <w:t xml:space="preserve">Источник </w:t>
      </w:r>
      <w:proofErr w:type="gramStart"/>
      <w:r w:rsidRPr="0045107C">
        <w:rPr>
          <w:sz w:val="16"/>
          <w:lang w:val="ru-RU"/>
        </w:rPr>
        <w:t xml:space="preserve">данных: </w:t>
      </w:r>
      <w:r w:rsidRPr="00934238">
        <w:t xml:space="preserve"> </w:t>
      </w:r>
      <w:bookmarkStart w:id="114" w:name="_GoBack"/>
      <w:r w:rsidR="00155587">
        <w:rPr>
          <w:sz w:val="16"/>
          <w:lang w:val="ru-RU"/>
        </w:rPr>
        <w:t>http://ruonia.ru/</w:t>
      </w:r>
      <w:bookmarkEnd w:id="114"/>
      <w:proofErr w:type="gramEnd"/>
    </w:p>
  </w:footnote>
  <w:footnote w:id="12">
    <w:p w14:paraId="035ECB49" w14:textId="7BB36B59" w:rsidR="00D84768" w:rsidRPr="0045107C" w:rsidRDefault="00D84768" w:rsidP="00302CF4">
      <w:pPr>
        <w:pStyle w:val="af2"/>
        <w:rPr>
          <w:lang w:val="ru-RU"/>
        </w:rPr>
      </w:pPr>
      <w:r>
        <w:rPr>
          <w:rStyle w:val="af4"/>
        </w:rPr>
        <w:footnoteRef/>
      </w:r>
      <w:r>
        <w:t xml:space="preserve"> </w:t>
      </w:r>
      <w:r w:rsidRPr="0045107C">
        <w:rPr>
          <w:sz w:val="16"/>
          <w:lang w:val="ru-RU"/>
        </w:rPr>
        <w:t xml:space="preserve">Источник </w:t>
      </w:r>
      <w:proofErr w:type="gramStart"/>
      <w:r w:rsidRPr="0045107C">
        <w:rPr>
          <w:sz w:val="16"/>
          <w:lang w:val="ru-RU"/>
        </w:rPr>
        <w:t xml:space="preserve">данных: </w:t>
      </w:r>
      <w:r w:rsidRPr="00934238">
        <w:t xml:space="preserve"> </w:t>
      </w:r>
      <w:r w:rsidR="00155587">
        <w:rPr>
          <w:sz w:val="16"/>
          <w:lang w:val="ru-RU"/>
        </w:rPr>
        <w:t>http://ruonia.ru/</w:t>
      </w:r>
      <w:proofErr w:type="gramEnd"/>
    </w:p>
  </w:footnote>
  <w:footnote w:id="13">
    <w:p w14:paraId="66A94FF6" w14:textId="44243F3F" w:rsidR="00D84768" w:rsidRPr="00087332" w:rsidRDefault="00D84768"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155587">
        <w:rPr>
          <w:sz w:val="16"/>
          <w:szCs w:val="16"/>
          <w:lang w:val="ru-RU"/>
        </w:rPr>
        <w:t>http://ruonia.ru/</w:t>
      </w:r>
    </w:p>
  </w:footnote>
  <w:footnote w:id="14">
    <w:p w14:paraId="4BEBB289" w14:textId="77777777" w:rsidR="00272E13" w:rsidRPr="00DB3503" w:rsidRDefault="00D84768" w:rsidP="00272E13">
      <w:pPr>
        <w:jc w:val="left"/>
        <w:rPr>
          <w:sz w:val="16"/>
          <w:szCs w:val="16"/>
          <w:lang w:val="en-GB"/>
        </w:rPr>
      </w:pPr>
      <w:r w:rsidRPr="00087332">
        <w:rPr>
          <w:rStyle w:val="af4"/>
          <w:sz w:val="16"/>
          <w:szCs w:val="16"/>
        </w:rPr>
        <w:footnoteRef/>
      </w:r>
      <w:r w:rsidRPr="00272E13">
        <w:rPr>
          <w:sz w:val="16"/>
          <w:szCs w:val="16"/>
          <w:lang w:val="en-US"/>
        </w:rPr>
        <w:t xml:space="preserve"> </w:t>
      </w:r>
      <w:r w:rsidR="00272E13" w:rsidRPr="00DB3503">
        <w:rPr>
          <w:b/>
          <w:sz w:val="16"/>
          <w:szCs w:val="16"/>
        </w:rPr>
        <w:t>Источник</w:t>
      </w:r>
      <w:r w:rsidR="00272E13" w:rsidRPr="00DB3503">
        <w:rPr>
          <w:b/>
          <w:sz w:val="16"/>
          <w:szCs w:val="16"/>
          <w:lang w:val="en-GB"/>
        </w:rPr>
        <w:t xml:space="preserve"> </w:t>
      </w:r>
      <w:r w:rsidR="00272E13" w:rsidRPr="00DB3503">
        <w:rPr>
          <w:b/>
          <w:sz w:val="16"/>
          <w:szCs w:val="16"/>
        </w:rPr>
        <w:t>данных</w:t>
      </w:r>
      <w:r w:rsidR="00272E13" w:rsidRPr="00DB3503">
        <w:rPr>
          <w:sz w:val="16"/>
          <w:szCs w:val="16"/>
          <w:lang w:val="en-GB"/>
        </w:rPr>
        <w:t xml:space="preserve"> - </w:t>
      </w:r>
      <w:r w:rsidR="00272E13" w:rsidRPr="00DB3503">
        <w:rPr>
          <w:sz w:val="16"/>
          <w:szCs w:val="16"/>
          <w:lang w:val="en-US"/>
        </w:rPr>
        <w:t>Annual default study: Corporate default rate will rise in 2023 and peak in early 2024</w:t>
      </w:r>
    </w:p>
    <w:p w14:paraId="2C2CFDE6" w14:textId="77777777" w:rsidR="00272E13" w:rsidRPr="00DB3503" w:rsidRDefault="00155587" w:rsidP="00272E13">
      <w:pPr>
        <w:jc w:val="left"/>
        <w:rPr>
          <w:sz w:val="16"/>
          <w:szCs w:val="16"/>
          <w:lang w:val="en-US"/>
        </w:rPr>
      </w:pPr>
      <w:hyperlink r:id="rId6" w:history="1">
        <w:r w:rsidR="00272E13" w:rsidRPr="00DB3503">
          <w:rPr>
            <w:rStyle w:val="ae"/>
            <w:sz w:val="16"/>
            <w:szCs w:val="16"/>
            <w:lang w:val="en-US"/>
          </w:rPr>
          <w:t>https://www.moodys.com/research/Annual-default-study-Corporate-default-rate-will-rise-in-2023--PBC_1363795</w:t>
        </w:r>
      </w:hyperlink>
      <w:r w:rsidR="00272E13" w:rsidRPr="00DB3503">
        <w:rPr>
          <w:sz w:val="16"/>
          <w:szCs w:val="16"/>
          <w:lang w:val="en-GB"/>
        </w:rPr>
        <w:t xml:space="preserve"> </w:t>
      </w:r>
      <w:r w:rsidR="00272E13" w:rsidRPr="00DB3503">
        <w:rPr>
          <w:sz w:val="16"/>
          <w:szCs w:val="16"/>
          <w:lang w:val="en-US"/>
        </w:rPr>
        <w:t xml:space="preserve">  </w:t>
      </w:r>
    </w:p>
    <w:p w14:paraId="55152902" w14:textId="77777777" w:rsidR="00272E13" w:rsidRPr="00DB3503" w:rsidRDefault="00272E13" w:rsidP="00272E13">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27D3245E" w14:textId="77777777" w:rsidR="00272E13" w:rsidRPr="00DB3503" w:rsidRDefault="00272E13" w:rsidP="00272E13">
      <w:pPr>
        <w:ind w:firstLine="604"/>
        <w:jc w:val="left"/>
        <w:rPr>
          <w:sz w:val="16"/>
          <w:szCs w:val="16"/>
        </w:rPr>
      </w:pPr>
      <w:r w:rsidRPr="00DB3503">
        <w:rPr>
          <w:sz w:val="16"/>
          <w:szCs w:val="16"/>
        </w:rPr>
        <w:t>графа 1 – на горизонте 1 год.</w:t>
      </w:r>
    </w:p>
    <w:p w14:paraId="6A27008A" w14:textId="77777777" w:rsidR="00272E13" w:rsidRPr="00DB3503" w:rsidRDefault="00272E13" w:rsidP="00272E13">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754C9887" w14:textId="77777777" w:rsidR="00272E13" w:rsidRPr="00DB3503" w:rsidRDefault="00272E13" w:rsidP="00272E13">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1684708D" w14:textId="77777777" w:rsidR="00272E13" w:rsidRPr="00DB3503" w:rsidRDefault="00272E13" w:rsidP="00272E13">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71DE8E49" w14:textId="77777777" w:rsidR="00272E13" w:rsidRPr="00DB3503" w:rsidRDefault="00272E13" w:rsidP="00272E13">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proofErr w:type="spellStart"/>
      <w:r w:rsidRPr="00DB3503">
        <w:rPr>
          <w:sz w:val="16"/>
          <w:szCs w:val="16"/>
          <w:lang w:val="en-US"/>
        </w:rPr>
        <w:t>recovery</w:t>
      </w:r>
      <w:proofErr w:type="spellEnd"/>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02058826" w:rsidR="00D84768" w:rsidRPr="00087332" w:rsidRDefault="00272E13" w:rsidP="00272E13">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15">
    <w:p w14:paraId="4A3508E0" w14:textId="77777777" w:rsidR="00D84768" w:rsidRPr="007A1557" w:rsidRDefault="00D84768">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6">
    <w:p w14:paraId="6FA24965" w14:textId="77777777" w:rsidR="00D84768" w:rsidRPr="007A1557" w:rsidRDefault="00D84768">
      <w:pPr>
        <w:pStyle w:val="af2"/>
        <w:rPr>
          <w:lang w:val="ru-RU"/>
        </w:rPr>
      </w:pPr>
      <w:r w:rsidRPr="007A1557">
        <w:rPr>
          <w:rStyle w:val="af4"/>
          <w:sz w:val="16"/>
        </w:rPr>
        <w:footnoteRef/>
      </w:r>
      <w:r w:rsidRPr="007A1557">
        <w:rPr>
          <w:sz w:val="16"/>
        </w:rP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7">
    <w:p w14:paraId="3FE6A798" w14:textId="77777777" w:rsidR="00D84768" w:rsidRPr="00D27A80" w:rsidRDefault="00D84768">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18">
    <w:p w14:paraId="0EB84E75" w14:textId="77777777" w:rsidR="00D84768" w:rsidRPr="00AC2C21" w:rsidRDefault="00D84768"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D84768" w:rsidRPr="00AC2C21" w:rsidRDefault="00D84768" w:rsidP="00803EF1">
      <w:pPr>
        <w:pStyle w:val="af2"/>
        <w:rPr>
          <w:sz w:val="16"/>
        </w:rPr>
      </w:pPr>
      <w:r w:rsidRPr="00AC2C21">
        <w:rPr>
          <w:sz w:val="16"/>
        </w:rPr>
        <w:t>LGD=1-RR,</w:t>
      </w:r>
    </w:p>
    <w:p w14:paraId="47AD9427" w14:textId="77777777" w:rsidR="00D84768" w:rsidRPr="00AC2C21" w:rsidRDefault="00D84768" w:rsidP="00803EF1">
      <w:pPr>
        <w:pStyle w:val="af2"/>
        <w:rPr>
          <w:sz w:val="16"/>
        </w:rPr>
      </w:pPr>
      <w:r w:rsidRPr="00AC2C21">
        <w:rPr>
          <w:sz w:val="16"/>
        </w:rPr>
        <w:t>где:</w:t>
      </w:r>
    </w:p>
    <w:p w14:paraId="69197661" w14:textId="77777777" w:rsidR="00D84768" w:rsidRDefault="00D84768" w:rsidP="00803EF1">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26F6"/>
    <w:rsid w:val="00153858"/>
    <w:rsid w:val="001545CE"/>
    <w:rsid w:val="00155587"/>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1E95"/>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2E13"/>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58E3"/>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2DAB"/>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5F3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E79F5"/>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768"/>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47C9"/>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6CA7"/>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166BF"/>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865749976">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moex.com/s25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raexpert.ru/docbank//597/fd8/25b/5aeb06561bc353d872afb0a.pdf"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hyperlink" Target="https://www.moex.com/s2532" TargetMode="External"/><Relationship Id="rId35" Type="http://schemas.openxmlformats.org/officeDocument/2006/relationships/theme" Target="theme/theme1.xml"/><Relationship Id="rId8" Type="http://schemas.openxmlformats.org/officeDocument/2006/relationships/hyperlink" Target="https://bo.nalog.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360F-F4E3-4EE6-B9FB-1B73DF94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21475</Words>
  <Characters>122412</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143600</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15</cp:revision>
  <cp:lastPrinted>2020-01-13T09:40:00Z</cp:lastPrinted>
  <dcterms:created xsi:type="dcterms:W3CDTF">2022-12-21T09:06:00Z</dcterms:created>
  <dcterms:modified xsi:type="dcterms:W3CDTF">2023-06-21T11:48:00Z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