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B42081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A502E">
        <w:rPr>
          <w:rFonts w:cstheme="minorHAnsi"/>
        </w:rPr>
        <w:t>3</w:t>
      </w:r>
      <w:r w:rsidR="007B171D">
        <w:rPr>
          <w:rFonts w:cstheme="minorHAnsi"/>
        </w:rPr>
        <w:t>0</w:t>
      </w:r>
      <w:r w:rsidR="00986649" w:rsidRPr="0021055B">
        <w:rPr>
          <w:rFonts w:cstheme="minorHAnsi"/>
        </w:rPr>
        <w:t>.</w:t>
      </w:r>
      <w:r w:rsidR="00C440C9">
        <w:rPr>
          <w:rFonts w:cstheme="minorHAnsi"/>
        </w:rPr>
        <w:t>0</w:t>
      </w:r>
      <w:r w:rsidR="007B171D">
        <w:rPr>
          <w:rFonts w:cstheme="minorHAnsi"/>
        </w:rPr>
        <w:t>6</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1B470CC"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091AD9">
        <w:t>8</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58BA3987" w:rsidR="002E02FF" w:rsidRPr="00816C0E" w:rsidRDefault="008B6487" w:rsidP="00091AD9">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091AD9">
              <w:rPr>
                <w:rFonts w:cstheme="minorHAnsi"/>
              </w:rPr>
              <w:t>26</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727B5073" w:rsidR="00DB0B0C" w:rsidRDefault="00DB0B0C" w:rsidP="00DC53A9">
            <w:pPr>
              <w:spacing w:line="276" w:lineRule="auto"/>
              <w:jc w:val="center"/>
              <w:rPr>
                <w:rFonts w:cstheme="minorHAnsi"/>
              </w:rPr>
            </w:pPr>
            <w:r>
              <w:rPr>
                <w:rFonts w:cstheme="minorHAnsi"/>
              </w:rPr>
              <w:t>1,</w:t>
            </w:r>
            <w:r w:rsidR="00091AD9">
              <w:rPr>
                <w:rFonts w:cstheme="minorHAnsi"/>
              </w:rPr>
              <w:t>11</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425777D8" w:rsidR="00896BA6" w:rsidRDefault="00917972" w:rsidP="00F71D04">
            <w:pPr>
              <w:spacing w:line="276" w:lineRule="auto"/>
              <w:jc w:val="center"/>
              <w:rPr>
                <w:rFonts w:cstheme="minorHAnsi"/>
              </w:rPr>
            </w:pPr>
            <w:r>
              <w:rPr>
                <w:rFonts w:cstheme="minorHAnsi"/>
              </w:rPr>
              <w:t>0</w:t>
            </w:r>
            <w:r w:rsidR="00896BA6">
              <w:rPr>
                <w:rFonts w:cstheme="minorHAnsi"/>
              </w:rPr>
              <w:t>,</w:t>
            </w:r>
            <w:r w:rsidR="00091AD9">
              <w:rPr>
                <w:rFonts w:cstheme="minorHAnsi"/>
              </w:rPr>
              <w:t>62</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2B590B5D" w:rsidR="002E02FF" w:rsidRPr="00816C0E" w:rsidRDefault="00CA2D21" w:rsidP="00F71D04">
            <w:pPr>
              <w:jc w:val="center"/>
              <w:rPr>
                <w:rFonts w:cstheme="minorHAnsi"/>
              </w:rPr>
            </w:pPr>
            <w:r>
              <w:rPr>
                <w:rFonts w:cstheme="minorHAnsi"/>
              </w:rPr>
              <w:t>0</w:t>
            </w:r>
            <w:r w:rsidR="00C60EF2" w:rsidRPr="00816C0E">
              <w:rPr>
                <w:rFonts w:cstheme="minorHAnsi"/>
              </w:rPr>
              <w:t>,</w:t>
            </w:r>
            <w:r w:rsidR="00091AD9">
              <w:rPr>
                <w:rFonts w:cstheme="minorHAnsi"/>
              </w:rPr>
              <w:t>77</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1CED431F" w:rsidR="008B6487" w:rsidRDefault="00DC53A9" w:rsidP="00DC53A9">
            <w:pPr>
              <w:jc w:val="center"/>
              <w:rPr>
                <w:rFonts w:cstheme="minorHAnsi"/>
              </w:rPr>
            </w:pPr>
            <w:r>
              <w:rPr>
                <w:rFonts w:cstheme="minorHAnsi"/>
              </w:rPr>
              <w:t>1</w:t>
            </w:r>
            <w:r w:rsidR="008B6487">
              <w:rPr>
                <w:rFonts w:cstheme="minorHAnsi"/>
              </w:rPr>
              <w:t>,</w:t>
            </w:r>
            <w:r w:rsidR="00091AD9">
              <w:rPr>
                <w:rFonts w:cstheme="minorHAnsi"/>
              </w:rPr>
              <w:t>40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1AE0933" w14:textId="77777777" w:rsidR="00C440C9" w:rsidRDefault="00D12D52" w:rsidP="00C440C9">
            <w:pPr>
              <w:pStyle w:val="ConsPlusNormal"/>
              <w:ind w:left="283"/>
              <w:rPr>
                <w:rFonts w:asciiTheme="minorHAnsi" w:hAnsiTheme="minorHAnsi" w:cstheme="minorHAnsi"/>
              </w:rPr>
            </w:pPr>
            <w:r w:rsidRPr="003B455E">
              <w:rPr>
                <w:rFonts w:asciiTheme="minorHAnsi" w:hAnsiTheme="minorHAnsi" w:cstheme="minorHAnsi"/>
              </w:rPr>
              <w:t>инфляции</w:t>
            </w:r>
            <w:r w:rsidR="00C440C9">
              <w:rPr>
                <w:rFonts w:asciiTheme="minorHAnsi" w:hAnsiTheme="minorHAnsi" w:cstheme="minorHAnsi"/>
              </w:rPr>
              <w:t>*</w:t>
            </w:r>
          </w:p>
          <w:p w14:paraId="377B7C46" w14:textId="4DA690C3" w:rsidR="00D12D52" w:rsidRPr="003B455E" w:rsidRDefault="00C440C9" w:rsidP="00BD4E1F">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BD4E1F">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281875">
              <w:rPr>
                <w:rFonts w:asciiTheme="minorHAnsi" w:hAnsiTheme="minorHAnsi" w:cstheme="minorHAnsi"/>
                <w:sz w:val="12"/>
                <w:szCs w:val="12"/>
              </w:rPr>
              <w:t>3</w:t>
            </w:r>
            <w:r w:rsidRPr="00EB78B5">
              <w:rPr>
                <w:rFonts w:asciiTheme="minorHAnsi" w:hAnsiTheme="minorHAnsi" w:cstheme="minorHAnsi"/>
                <w:sz w:val="12"/>
                <w:szCs w:val="12"/>
              </w:rPr>
              <w:t>)</w:t>
            </w:r>
          </w:p>
        </w:tc>
      </w:tr>
      <w:tr w:rsidR="00091AD9" w:rsidRPr="00C50091" w14:paraId="163F6D42" w14:textId="77777777" w:rsidTr="006F70F7">
        <w:tc>
          <w:tcPr>
            <w:tcW w:w="4365" w:type="dxa"/>
            <w:vMerge/>
          </w:tcPr>
          <w:p w14:paraId="439EA073" w14:textId="77777777" w:rsidR="00091AD9" w:rsidRPr="003B455E" w:rsidRDefault="00091AD9" w:rsidP="00091AD9">
            <w:pPr>
              <w:rPr>
                <w:rFonts w:cstheme="minorHAnsi"/>
              </w:rPr>
            </w:pPr>
          </w:p>
        </w:tc>
        <w:tc>
          <w:tcPr>
            <w:tcW w:w="1380" w:type="dxa"/>
            <w:vAlign w:val="bottom"/>
          </w:tcPr>
          <w:p w14:paraId="377E34DE" w14:textId="77777777" w:rsidR="00091AD9" w:rsidRPr="003B455E" w:rsidRDefault="00091AD9" w:rsidP="00091AD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DFF3BD3" w:rsidR="00091AD9" w:rsidRPr="003B455E" w:rsidRDefault="00091AD9" w:rsidP="00091AD9">
            <w:pPr>
              <w:pStyle w:val="ConsPlusNormal"/>
              <w:rPr>
                <w:rFonts w:asciiTheme="minorHAnsi" w:hAnsiTheme="minorHAnsi" w:cstheme="minorHAnsi"/>
              </w:rPr>
            </w:pPr>
            <w:r>
              <w:rPr>
                <w:color w:val="000000"/>
                <w:szCs w:val="22"/>
              </w:rPr>
              <w:t>0,73%</w:t>
            </w:r>
          </w:p>
        </w:tc>
        <w:tc>
          <w:tcPr>
            <w:tcW w:w="1705" w:type="dxa"/>
            <w:vAlign w:val="bottom"/>
          </w:tcPr>
          <w:p w14:paraId="5DA42905" w14:textId="2E9B5D13" w:rsidR="00091AD9" w:rsidRPr="00C5506D" w:rsidRDefault="00091AD9" w:rsidP="00091AD9">
            <w:pPr>
              <w:pStyle w:val="ConsPlusNormal"/>
              <w:rPr>
                <w:rFonts w:asciiTheme="minorHAnsi" w:hAnsiTheme="minorHAnsi" w:cstheme="minorHAnsi"/>
                <w:highlight w:val="yellow"/>
                <w:lang w:val="en-US"/>
              </w:rPr>
            </w:pPr>
            <w:r>
              <w:rPr>
                <w:color w:val="000000"/>
                <w:szCs w:val="22"/>
              </w:rPr>
              <w:t>0,42%</w:t>
            </w:r>
          </w:p>
        </w:tc>
      </w:tr>
      <w:tr w:rsidR="00091AD9" w:rsidRPr="00C50091" w14:paraId="734DB2DE" w14:textId="77777777" w:rsidTr="006F70F7">
        <w:tc>
          <w:tcPr>
            <w:tcW w:w="4365" w:type="dxa"/>
            <w:vMerge/>
          </w:tcPr>
          <w:p w14:paraId="1A4F3314" w14:textId="77777777" w:rsidR="00091AD9" w:rsidRPr="003B455E" w:rsidRDefault="00091AD9" w:rsidP="00091AD9">
            <w:pPr>
              <w:rPr>
                <w:rFonts w:cstheme="minorHAnsi"/>
              </w:rPr>
            </w:pPr>
          </w:p>
        </w:tc>
        <w:tc>
          <w:tcPr>
            <w:tcW w:w="1380" w:type="dxa"/>
            <w:vAlign w:val="bottom"/>
          </w:tcPr>
          <w:p w14:paraId="6B673F49" w14:textId="77777777" w:rsidR="00091AD9" w:rsidRPr="003B455E" w:rsidRDefault="00091AD9" w:rsidP="00091AD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00099821" w:rsidR="00091AD9" w:rsidRPr="003B455E" w:rsidRDefault="00091AD9" w:rsidP="00091AD9">
            <w:pPr>
              <w:pStyle w:val="ConsPlusNormal"/>
              <w:rPr>
                <w:rFonts w:asciiTheme="minorHAnsi" w:hAnsiTheme="minorHAnsi" w:cstheme="minorHAnsi"/>
              </w:rPr>
            </w:pPr>
            <w:r>
              <w:rPr>
                <w:color w:val="000000"/>
                <w:szCs w:val="22"/>
              </w:rPr>
              <w:t>2,95%</w:t>
            </w:r>
          </w:p>
        </w:tc>
        <w:tc>
          <w:tcPr>
            <w:tcW w:w="1705" w:type="dxa"/>
            <w:vAlign w:val="bottom"/>
          </w:tcPr>
          <w:p w14:paraId="0A9EC4F7" w14:textId="6E02F256" w:rsidR="00091AD9" w:rsidRPr="00C5506D" w:rsidRDefault="00091AD9" w:rsidP="00091AD9">
            <w:pPr>
              <w:pStyle w:val="ConsPlusNormal"/>
              <w:rPr>
                <w:rFonts w:asciiTheme="minorHAnsi" w:hAnsiTheme="minorHAnsi" w:cstheme="minorHAnsi"/>
                <w:highlight w:val="yellow"/>
              </w:rPr>
            </w:pPr>
            <w:r>
              <w:rPr>
                <w:color w:val="000000"/>
                <w:szCs w:val="22"/>
              </w:rPr>
              <w:t>1,89%</w:t>
            </w:r>
          </w:p>
        </w:tc>
      </w:tr>
      <w:tr w:rsidR="00091AD9" w:rsidRPr="00C50091" w14:paraId="2D189623" w14:textId="77777777" w:rsidTr="006F70F7">
        <w:tc>
          <w:tcPr>
            <w:tcW w:w="4365" w:type="dxa"/>
            <w:vMerge/>
          </w:tcPr>
          <w:p w14:paraId="06D3E770" w14:textId="77777777" w:rsidR="00091AD9" w:rsidRPr="003B455E" w:rsidRDefault="00091AD9" w:rsidP="00091AD9">
            <w:pPr>
              <w:rPr>
                <w:rFonts w:cstheme="minorHAnsi"/>
              </w:rPr>
            </w:pPr>
          </w:p>
        </w:tc>
        <w:tc>
          <w:tcPr>
            <w:tcW w:w="1380" w:type="dxa"/>
            <w:vAlign w:val="bottom"/>
          </w:tcPr>
          <w:p w14:paraId="0A625FAD" w14:textId="77777777" w:rsidR="00091AD9" w:rsidRPr="003B455E" w:rsidRDefault="00091AD9" w:rsidP="00091AD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33076A2" w:rsidR="00091AD9" w:rsidRPr="003B455E" w:rsidRDefault="00091AD9" w:rsidP="00091AD9">
            <w:pPr>
              <w:pStyle w:val="ConsPlusNormal"/>
              <w:rPr>
                <w:rFonts w:asciiTheme="minorHAnsi" w:hAnsiTheme="minorHAnsi" w:cstheme="minorHAnsi"/>
              </w:rPr>
            </w:pPr>
            <w:r>
              <w:rPr>
                <w:color w:val="000000"/>
                <w:szCs w:val="22"/>
              </w:rPr>
              <w:t>11,84%</w:t>
            </w:r>
          </w:p>
        </w:tc>
        <w:tc>
          <w:tcPr>
            <w:tcW w:w="1705" w:type="dxa"/>
            <w:vAlign w:val="bottom"/>
          </w:tcPr>
          <w:p w14:paraId="5A1631C8" w14:textId="666ADD93" w:rsidR="00091AD9" w:rsidRPr="00C5506D" w:rsidRDefault="00091AD9" w:rsidP="00091AD9">
            <w:pPr>
              <w:pStyle w:val="ConsPlusNormal"/>
              <w:rPr>
                <w:rFonts w:asciiTheme="minorHAnsi" w:hAnsiTheme="minorHAnsi" w:cstheme="minorHAnsi"/>
                <w:highlight w:val="yellow"/>
              </w:rPr>
            </w:pPr>
            <w:r>
              <w:rPr>
                <w:color w:val="000000"/>
                <w:szCs w:val="22"/>
              </w:rPr>
              <w:t>8,66%</w:t>
            </w:r>
          </w:p>
        </w:tc>
      </w:tr>
      <w:tr w:rsidR="00091AD9" w:rsidRPr="00C50091" w14:paraId="00022598" w14:textId="77777777" w:rsidTr="006F70F7">
        <w:tc>
          <w:tcPr>
            <w:tcW w:w="4365" w:type="dxa"/>
            <w:vMerge/>
          </w:tcPr>
          <w:p w14:paraId="23447C1B" w14:textId="77777777" w:rsidR="00091AD9" w:rsidRPr="003B455E" w:rsidRDefault="00091AD9" w:rsidP="00091AD9">
            <w:pPr>
              <w:rPr>
                <w:rFonts w:cstheme="minorHAnsi"/>
              </w:rPr>
            </w:pPr>
          </w:p>
        </w:tc>
        <w:tc>
          <w:tcPr>
            <w:tcW w:w="1380" w:type="dxa"/>
            <w:vAlign w:val="bottom"/>
          </w:tcPr>
          <w:p w14:paraId="1559E4EA" w14:textId="77777777" w:rsidR="00091AD9" w:rsidRPr="003B455E" w:rsidRDefault="00091AD9" w:rsidP="00091AD9">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6681CCF" w:rsidR="00091AD9" w:rsidRPr="003B455E" w:rsidRDefault="00091AD9" w:rsidP="00091AD9">
            <w:pPr>
              <w:pStyle w:val="ConsPlusNormal"/>
              <w:rPr>
                <w:rFonts w:asciiTheme="minorHAnsi" w:hAnsiTheme="minorHAnsi" w:cstheme="minorHAnsi"/>
              </w:rPr>
            </w:pPr>
            <w:r>
              <w:rPr>
                <w:color w:val="000000"/>
                <w:szCs w:val="22"/>
              </w:rPr>
              <w:t>19,02%</w:t>
            </w:r>
          </w:p>
        </w:tc>
        <w:tc>
          <w:tcPr>
            <w:tcW w:w="1705" w:type="dxa"/>
            <w:vAlign w:val="bottom"/>
          </w:tcPr>
          <w:p w14:paraId="4EF284CC" w14:textId="565813C6" w:rsidR="00091AD9" w:rsidRPr="00C5506D" w:rsidRDefault="00091AD9" w:rsidP="00091AD9">
            <w:pPr>
              <w:pStyle w:val="ConsPlusNormal"/>
              <w:rPr>
                <w:rFonts w:asciiTheme="minorHAnsi" w:hAnsiTheme="minorHAnsi" w:cstheme="minorHAnsi"/>
                <w:highlight w:val="yellow"/>
              </w:rPr>
            </w:pPr>
            <w:r>
              <w:rPr>
                <w:color w:val="000000"/>
                <w:szCs w:val="22"/>
              </w:rPr>
              <w:t>16,52%</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208AA411" w:rsidR="007A0DCF" w:rsidRPr="00C50091" w:rsidRDefault="007E4067" w:rsidP="00091AD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91AD9" w:rsidRPr="00091AD9">
        <w:rPr>
          <w:rFonts w:cstheme="minorHAnsi"/>
        </w:rPr>
        <w:t>259</w:t>
      </w:r>
      <w:r w:rsidR="00091AD9">
        <w:rPr>
          <w:rFonts w:cstheme="minorHAnsi"/>
        </w:rPr>
        <w:t xml:space="preserve"> </w:t>
      </w:r>
      <w:r w:rsidR="00091AD9" w:rsidRPr="00091AD9">
        <w:rPr>
          <w:rFonts w:cstheme="minorHAnsi"/>
        </w:rPr>
        <w:t>947,64</w:t>
      </w:r>
      <w:r w:rsidR="00F71D04">
        <w:rPr>
          <w:rFonts w:cstheme="minorHAnsi"/>
        </w:rPr>
        <w:t xml:space="preserve"> </w:t>
      </w:r>
      <w:r w:rsidRPr="00C50091">
        <w:rPr>
          <w:rFonts w:cstheme="minorHAnsi"/>
        </w:rPr>
        <w:t>рублей.</w:t>
      </w:r>
    </w:p>
    <w:p w14:paraId="2FE68D87" w14:textId="059F0229" w:rsidR="007A0DCF" w:rsidRPr="00C50091" w:rsidRDefault="007A0DCF" w:rsidP="00091AD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91AD9" w:rsidRPr="00091AD9">
        <w:rPr>
          <w:rFonts w:cstheme="minorHAnsi"/>
        </w:rPr>
        <w:t>333</w:t>
      </w:r>
      <w:r w:rsidR="00091AD9">
        <w:rPr>
          <w:rFonts w:cstheme="minorHAnsi"/>
        </w:rPr>
        <w:t> </w:t>
      </w:r>
      <w:r w:rsidR="00091AD9" w:rsidRPr="00091AD9">
        <w:rPr>
          <w:rFonts w:cstheme="minorHAnsi"/>
        </w:rPr>
        <w:t>512</w:t>
      </w:r>
      <w:r w:rsidR="00091AD9">
        <w:rPr>
          <w:rFonts w:cstheme="minorHAnsi"/>
        </w:rPr>
        <w:t xml:space="preserve"> </w:t>
      </w:r>
      <w:bookmarkStart w:id="0" w:name="_GoBack"/>
      <w:bookmarkEnd w:id="0"/>
      <w:r w:rsidR="00091AD9" w:rsidRPr="00091AD9">
        <w:rPr>
          <w:rFonts w:cstheme="minorHAnsi"/>
        </w:rPr>
        <w:t>820,06</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91AD9"/>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5035"/>
    <w:rsid w:val="004D02F5"/>
    <w:rsid w:val="004F6824"/>
    <w:rsid w:val="0050024A"/>
    <w:rsid w:val="0054667C"/>
    <w:rsid w:val="00555983"/>
    <w:rsid w:val="00584830"/>
    <w:rsid w:val="005907D9"/>
    <w:rsid w:val="005953EA"/>
    <w:rsid w:val="005A502E"/>
    <w:rsid w:val="005D7B7C"/>
    <w:rsid w:val="005E2EAC"/>
    <w:rsid w:val="006637FA"/>
    <w:rsid w:val="0066623E"/>
    <w:rsid w:val="006961D3"/>
    <w:rsid w:val="00701135"/>
    <w:rsid w:val="007622D8"/>
    <w:rsid w:val="0077696C"/>
    <w:rsid w:val="00785A61"/>
    <w:rsid w:val="007A0DCF"/>
    <w:rsid w:val="007B171D"/>
    <w:rsid w:val="007E1692"/>
    <w:rsid w:val="007E4067"/>
    <w:rsid w:val="00813496"/>
    <w:rsid w:val="00816C0E"/>
    <w:rsid w:val="00852626"/>
    <w:rsid w:val="00857E96"/>
    <w:rsid w:val="00857FBE"/>
    <w:rsid w:val="00876ABD"/>
    <w:rsid w:val="00884AA0"/>
    <w:rsid w:val="00896BA6"/>
    <w:rsid w:val="008B6487"/>
    <w:rsid w:val="008C69EC"/>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BD4E1F"/>
    <w:rsid w:val="00C440C9"/>
    <w:rsid w:val="00C45B63"/>
    <w:rsid w:val="00C50091"/>
    <w:rsid w:val="00C5506D"/>
    <w:rsid w:val="00C60EF2"/>
    <w:rsid w:val="00C75DF9"/>
    <w:rsid w:val="00CA2D21"/>
    <w:rsid w:val="00D12D52"/>
    <w:rsid w:val="00D72247"/>
    <w:rsid w:val="00DA0098"/>
    <w:rsid w:val="00DB0B0C"/>
    <w:rsid w:val="00DC53A9"/>
    <w:rsid w:val="00DD5572"/>
    <w:rsid w:val="00E365EB"/>
    <w:rsid w:val="00E4575A"/>
    <w:rsid w:val="00E66B06"/>
    <w:rsid w:val="00EA2870"/>
    <w:rsid w:val="00F12099"/>
    <w:rsid w:val="00F571C3"/>
    <w:rsid w:val="00F71D04"/>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9E11-3280-4458-949B-1250E122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47</cp:revision>
  <cp:lastPrinted>2021-09-07T11:44:00Z</cp:lastPrinted>
  <dcterms:created xsi:type="dcterms:W3CDTF">2021-10-07T10:00:00Z</dcterms:created>
  <dcterms:modified xsi:type="dcterms:W3CDTF">2023-07-11T07:19:00Z</dcterms:modified>
</cp:coreProperties>
</file>