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0D4262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C6EC8">
        <w:rPr>
          <w:rFonts w:cstheme="minorHAnsi"/>
        </w:rPr>
        <w:t>3</w:t>
      </w:r>
      <w:r w:rsidR="00210105">
        <w:rPr>
          <w:rFonts w:cstheme="minorHAnsi"/>
        </w:rPr>
        <w:t>1</w:t>
      </w:r>
      <w:r w:rsidR="00986649" w:rsidRPr="006B6C77">
        <w:rPr>
          <w:rFonts w:cstheme="minorHAnsi"/>
        </w:rPr>
        <w:t>.</w:t>
      </w:r>
      <w:r w:rsidR="00D841DF">
        <w:rPr>
          <w:rFonts w:cstheme="minorHAnsi"/>
        </w:rPr>
        <w:t>0</w:t>
      </w:r>
      <w:r w:rsidR="00210105">
        <w:rPr>
          <w:rFonts w:cstheme="minorHAnsi"/>
        </w:rPr>
        <w:t>7</w:t>
      </w:r>
      <w:r w:rsidR="00986649" w:rsidRPr="006B6C77">
        <w:rPr>
          <w:rFonts w:cstheme="minorHAnsi"/>
        </w:rPr>
        <w:t>.202</w:t>
      </w:r>
      <w:r w:rsidR="00D841DF">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289C9B5F"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46DB2">
        <w:t>6</w:t>
      </w:r>
      <w:bookmarkStart w:id="0" w:name="_GoBack"/>
      <w:bookmarkEnd w:id="0"/>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661B8B61" w:rsidR="00492992" w:rsidRPr="00A23348" w:rsidRDefault="00A23348" w:rsidP="00AA3B14">
            <w:pPr>
              <w:spacing w:line="276" w:lineRule="auto"/>
              <w:jc w:val="center"/>
              <w:rPr>
                <w:rFonts w:cstheme="minorHAnsi"/>
              </w:rPr>
            </w:pPr>
            <w:r>
              <w:rPr>
                <w:rFonts w:cstheme="minorHAnsi"/>
              </w:rPr>
              <w:t>21</w:t>
            </w:r>
            <w:r w:rsidR="00492992" w:rsidRPr="00A523F4">
              <w:rPr>
                <w:rFonts w:cstheme="minorHAnsi"/>
              </w:rPr>
              <w:t>,</w:t>
            </w:r>
            <w:r w:rsidR="00AA3B14">
              <w:rPr>
                <w:rFonts w:cstheme="minorHAnsi"/>
              </w:rPr>
              <w:t>35</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4A1D4A69"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AA3B14">
              <w:rPr>
                <w:rFonts w:cstheme="minorHAnsi"/>
              </w:rPr>
              <w:t>05</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370F2A58" w:rsidR="00A23348" w:rsidRPr="00A23348" w:rsidRDefault="00A23348" w:rsidP="00AA3B14">
            <w:pPr>
              <w:jc w:val="center"/>
              <w:rPr>
                <w:rFonts w:cstheme="minorHAnsi"/>
              </w:rPr>
            </w:pPr>
            <w:r>
              <w:rPr>
                <w:rFonts w:cstheme="minorHAnsi"/>
              </w:rPr>
              <w:t>1</w:t>
            </w:r>
            <w:r w:rsidR="00691B3A">
              <w:rPr>
                <w:rFonts w:cstheme="minorHAnsi"/>
              </w:rPr>
              <w:t>5</w:t>
            </w:r>
            <w:r>
              <w:rPr>
                <w:rFonts w:cstheme="minorHAnsi"/>
              </w:rPr>
              <w:t>,</w:t>
            </w:r>
            <w:r w:rsidR="001411E4">
              <w:rPr>
                <w:rFonts w:cstheme="minorHAnsi"/>
              </w:rPr>
              <w:t>9</w:t>
            </w:r>
            <w:r w:rsidR="00AA3B14">
              <w:rPr>
                <w:rFonts w:cstheme="minorHAnsi"/>
              </w:rPr>
              <w:t>7</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2D8B7929" w14:textId="510EB6E5" w:rsidR="00C75DF9" w:rsidRPr="00A23348" w:rsidRDefault="00BE2C39" w:rsidP="00C75DF9">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AA3B14">
              <w:rPr>
                <w:rFonts w:cstheme="minorHAnsi"/>
              </w:rPr>
              <w:t>15</w:t>
            </w:r>
          </w:p>
          <w:p w14:paraId="5AB3F455" w14:textId="77777777" w:rsidR="00C75DF9" w:rsidRPr="00A523F4" w:rsidRDefault="00C75DF9" w:rsidP="00D841DF">
            <w:pPr>
              <w:spacing w:line="276" w:lineRule="auto"/>
              <w:rPr>
                <w:rFonts w:cstheme="minorHAnsi"/>
              </w:rPr>
            </w:pP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4743E0A8" w:rsidR="00C75DF9" w:rsidRPr="00A23348" w:rsidRDefault="00A23348" w:rsidP="00AA3B14">
            <w:pPr>
              <w:jc w:val="center"/>
              <w:rPr>
                <w:rFonts w:cstheme="minorHAnsi"/>
              </w:rPr>
            </w:pPr>
            <w:r>
              <w:rPr>
                <w:rFonts w:cstheme="minorHAnsi"/>
              </w:rPr>
              <w:t>1</w:t>
            </w:r>
            <w:r w:rsidR="00DF065F">
              <w:rPr>
                <w:rFonts w:cstheme="minorHAnsi"/>
              </w:rPr>
              <w:t>2</w:t>
            </w:r>
            <w:r w:rsidR="0063016A" w:rsidRPr="00A523F4">
              <w:rPr>
                <w:rFonts w:cstheme="minorHAnsi"/>
              </w:rPr>
              <w:t>,</w:t>
            </w:r>
            <w:r w:rsidR="002A5A74">
              <w:rPr>
                <w:rFonts w:cstheme="minorHAnsi"/>
              </w:rPr>
              <w:t>8</w:t>
            </w:r>
            <w:r w:rsidR="00AA3B14">
              <w:rPr>
                <w:rFonts w:cstheme="minorHAnsi"/>
              </w:rPr>
              <w:t>7</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DF065F">
        <w:tblPrEx>
          <w:tblCellMar>
            <w:left w:w="108" w:type="dxa"/>
            <w:right w:w="108" w:type="dxa"/>
          </w:tblCellMar>
        </w:tblPrEx>
        <w:trPr>
          <w:trHeight w:val="1074"/>
        </w:trPr>
        <w:tc>
          <w:tcPr>
            <w:tcW w:w="4365" w:type="dxa"/>
            <w:vMerge w:val="restart"/>
            <w:vAlign w:val="center"/>
          </w:tcPr>
          <w:p w14:paraId="66CBF915" w14:textId="7AC0897C" w:rsidR="00BF32E1" w:rsidRPr="003B455E" w:rsidRDefault="00DF065F" w:rsidP="00526694">
            <w:pPr>
              <w:pStyle w:val="ConsPlusNormal"/>
              <w:jc w:val="center"/>
              <w:rPr>
                <w:rFonts w:asciiTheme="minorHAnsi" w:hAnsiTheme="minorHAnsi" w:cstheme="minorHAnsi"/>
              </w:rPr>
            </w:pPr>
            <w:r>
              <w:rPr>
                <w:noProof/>
              </w:rPr>
              <w:drawing>
                <wp:inline distT="0" distB="0" distL="0" distR="0" wp14:anchorId="476758FA" wp14:editId="42919B76">
                  <wp:extent cx="2634615" cy="20859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8C527B4" w14:textId="77777777" w:rsidR="00D841DF" w:rsidRDefault="00BF32E1" w:rsidP="00D841DF">
            <w:pPr>
              <w:pStyle w:val="ConsPlusNormal"/>
              <w:ind w:left="283"/>
              <w:rPr>
                <w:rFonts w:asciiTheme="minorHAnsi" w:hAnsiTheme="minorHAnsi" w:cstheme="minorHAnsi"/>
              </w:rPr>
            </w:pPr>
            <w:r w:rsidRPr="003B455E">
              <w:rPr>
                <w:rFonts w:asciiTheme="minorHAnsi" w:hAnsiTheme="minorHAnsi" w:cstheme="minorHAnsi"/>
              </w:rPr>
              <w:t>инфляции</w:t>
            </w:r>
            <w:r w:rsidR="00D841DF">
              <w:rPr>
                <w:rFonts w:asciiTheme="minorHAnsi" w:hAnsiTheme="minorHAnsi" w:cstheme="minorHAnsi"/>
              </w:rPr>
              <w:t>*</w:t>
            </w:r>
          </w:p>
          <w:p w14:paraId="377B7C46" w14:textId="35FE0408" w:rsidR="00BF32E1" w:rsidRPr="003B455E" w:rsidRDefault="00D841DF" w:rsidP="00210105">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210105">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015576">
              <w:rPr>
                <w:rFonts w:asciiTheme="minorHAnsi" w:hAnsiTheme="minorHAnsi" w:cstheme="minorHAnsi"/>
                <w:sz w:val="12"/>
                <w:szCs w:val="12"/>
              </w:rPr>
              <w:t>3</w:t>
            </w:r>
            <w:r w:rsidRPr="00EB78B5">
              <w:rPr>
                <w:rFonts w:asciiTheme="minorHAnsi" w:hAnsiTheme="minorHAnsi" w:cstheme="minorHAnsi"/>
                <w:sz w:val="12"/>
                <w:szCs w:val="12"/>
              </w:rPr>
              <w:t>)</w:t>
            </w:r>
          </w:p>
        </w:tc>
      </w:tr>
      <w:tr w:rsidR="00AA3B14" w:rsidRPr="00C50091" w14:paraId="163F6D42" w14:textId="77777777" w:rsidTr="00796ED7">
        <w:tc>
          <w:tcPr>
            <w:tcW w:w="4365" w:type="dxa"/>
            <w:vMerge/>
          </w:tcPr>
          <w:p w14:paraId="439EA073" w14:textId="77777777" w:rsidR="00AA3B14" w:rsidRPr="003B455E" w:rsidRDefault="00AA3B14" w:rsidP="00AA3B14">
            <w:pPr>
              <w:rPr>
                <w:rFonts w:cstheme="minorHAnsi"/>
              </w:rPr>
            </w:pPr>
          </w:p>
        </w:tc>
        <w:tc>
          <w:tcPr>
            <w:tcW w:w="1380" w:type="dxa"/>
            <w:vAlign w:val="bottom"/>
          </w:tcPr>
          <w:p w14:paraId="377E34DE" w14:textId="77777777" w:rsidR="00AA3B14" w:rsidRPr="003B455E" w:rsidRDefault="00AA3B14" w:rsidP="00AA3B1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2239B41" w:rsidR="00AA3B14" w:rsidRPr="003B455E" w:rsidRDefault="00AA3B14" w:rsidP="00AA3B14">
            <w:pPr>
              <w:pStyle w:val="ConsPlusNormal"/>
              <w:rPr>
                <w:rFonts w:asciiTheme="minorHAnsi" w:hAnsiTheme="minorHAnsi" w:cstheme="minorHAnsi"/>
              </w:rPr>
            </w:pPr>
            <w:r>
              <w:rPr>
                <w:color w:val="000000"/>
                <w:szCs w:val="22"/>
              </w:rPr>
              <w:t>0,47%</w:t>
            </w:r>
          </w:p>
        </w:tc>
        <w:tc>
          <w:tcPr>
            <w:tcW w:w="1846" w:type="dxa"/>
            <w:vAlign w:val="bottom"/>
          </w:tcPr>
          <w:p w14:paraId="5DA42905" w14:textId="62D10326" w:rsidR="00AA3B14" w:rsidRPr="00DF065F" w:rsidRDefault="00AA3B14" w:rsidP="00AA3B14">
            <w:pPr>
              <w:pStyle w:val="ConsPlusNormal"/>
              <w:rPr>
                <w:rFonts w:asciiTheme="minorHAnsi" w:hAnsiTheme="minorHAnsi" w:cstheme="minorHAnsi"/>
                <w:highlight w:val="yellow"/>
              </w:rPr>
            </w:pPr>
            <w:r>
              <w:rPr>
                <w:color w:val="000000"/>
                <w:szCs w:val="22"/>
              </w:rPr>
              <w:t>0,10%</w:t>
            </w:r>
          </w:p>
        </w:tc>
      </w:tr>
      <w:tr w:rsidR="00AA3B14" w:rsidRPr="00C50091" w14:paraId="734DB2DE" w14:textId="77777777" w:rsidTr="00796ED7">
        <w:tc>
          <w:tcPr>
            <w:tcW w:w="4365" w:type="dxa"/>
            <w:vMerge/>
          </w:tcPr>
          <w:p w14:paraId="1A4F3314" w14:textId="77777777" w:rsidR="00AA3B14" w:rsidRPr="003B455E" w:rsidRDefault="00AA3B14" w:rsidP="00AA3B14">
            <w:pPr>
              <w:rPr>
                <w:rFonts w:cstheme="minorHAnsi"/>
              </w:rPr>
            </w:pPr>
          </w:p>
        </w:tc>
        <w:tc>
          <w:tcPr>
            <w:tcW w:w="1380" w:type="dxa"/>
            <w:vAlign w:val="bottom"/>
          </w:tcPr>
          <w:p w14:paraId="6B673F49" w14:textId="77777777" w:rsidR="00AA3B14" w:rsidRPr="003B455E" w:rsidRDefault="00AA3B14" w:rsidP="00AA3B1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4F651CC" w:rsidR="00AA3B14" w:rsidRPr="003B455E" w:rsidRDefault="00AA3B14" w:rsidP="00AA3B14">
            <w:pPr>
              <w:pStyle w:val="ConsPlusNormal"/>
              <w:rPr>
                <w:rFonts w:asciiTheme="minorHAnsi" w:hAnsiTheme="minorHAnsi" w:cstheme="minorHAnsi"/>
              </w:rPr>
            </w:pPr>
            <w:r>
              <w:rPr>
                <w:color w:val="000000"/>
                <w:szCs w:val="22"/>
              </w:rPr>
              <w:t>1,48%</w:t>
            </w:r>
          </w:p>
        </w:tc>
        <w:tc>
          <w:tcPr>
            <w:tcW w:w="1846" w:type="dxa"/>
            <w:vAlign w:val="bottom"/>
          </w:tcPr>
          <w:p w14:paraId="0A9EC4F7" w14:textId="54DBF9D8" w:rsidR="00AA3B14" w:rsidRPr="00DF065F" w:rsidRDefault="00AA3B14" w:rsidP="00AA3B14">
            <w:pPr>
              <w:pStyle w:val="ConsPlusNormal"/>
              <w:rPr>
                <w:rFonts w:asciiTheme="minorHAnsi" w:hAnsiTheme="minorHAnsi" w:cstheme="minorHAnsi"/>
                <w:highlight w:val="yellow"/>
              </w:rPr>
            </w:pPr>
            <w:r>
              <w:rPr>
                <w:color w:val="000000"/>
                <w:szCs w:val="22"/>
              </w:rPr>
              <w:t>0,42%</w:t>
            </w:r>
          </w:p>
        </w:tc>
      </w:tr>
      <w:tr w:rsidR="00AA3B14" w:rsidRPr="00C50091" w14:paraId="2D189623" w14:textId="77777777" w:rsidTr="00796ED7">
        <w:tc>
          <w:tcPr>
            <w:tcW w:w="4365" w:type="dxa"/>
            <w:vMerge/>
          </w:tcPr>
          <w:p w14:paraId="06D3E770" w14:textId="77777777" w:rsidR="00AA3B14" w:rsidRPr="003B455E" w:rsidRDefault="00AA3B14" w:rsidP="00AA3B14">
            <w:pPr>
              <w:rPr>
                <w:rFonts w:cstheme="minorHAnsi"/>
              </w:rPr>
            </w:pPr>
          </w:p>
        </w:tc>
        <w:tc>
          <w:tcPr>
            <w:tcW w:w="1380" w:type="dxa"/>
            <w:vAlign w:val="bottom"/>
          </w:tcPr>
          <w:p w14:paraId="0A625FAD" w14:textId="77777777" w:rsidR="00AA3B14" w:rsidRPr="003B455E" w:rsidRDefault="00AA3B14" w:rsidP="00AA3B1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36320A4" w:rsidR="00AA3B14" w:rsidRPr="003B455E" w:rsidRDefault="00AA3B14" w:rsidP="00AA3B14">
            <w:pPr>
              <w:pStyle w:val="ConsPlusNormal"/>
              <w:rPr>
                <w:rFonts w:asciiTheme="minorHAnsi" w:hAnsiTheme="minorHAnsi" w:cstheme="minorHAnsi"/>
              </w:rPr>
            </w:pPr>
            <w:r>
              <w:rPr>
                <w:color w:val="000000"/>
                <w:szCs w:val="22"/>
              </w:rPr>
              <w:t>4,31%</w:t>
            </w:r>
          </w:p>
        </w:tc>
        <w:tc>
          <w:tcPr>
            <w:tcW w:w="1846" w:type="dxa"/>
            <w:vAlign w:val="bottom"/>
          </w:tcPr>
          <w:p w14:paraId="5A1631C8" w14:textId="009AD347" w:rsidR="00AA3B14" w:rsidRPr="00DF065F" w:rsidRDefault="00AA3B14" w:rsidP="00AA3B14">
            <w:pPr>
              <w:pStyle w:val="ConsPlusNormal"/>
              <w:rPr>
                <w:rFonts w:asciiTheme="minorHAnsi" w:hAnsiTheme="minorHAnsi" w:cstheme="minorHAnsi"/>
                <w:highlight w:val="yellow"/>
              </w:rPr>
            </w:pPr>
            <w:r>
              <w:rPr>
                <w:color w:val="000000"/>
                <w:szCs w:val="22"/>
              </w:rPr>
              <w:t>1,55%</w:t>
            </w:r>
          </w:p>
        </w:tc>
      </w:tr>
      <w:tr w:rsidR="00AA3B14" w:rsidRPr="00C50091" w14:paraId="00022598" w14:textId="77777777" w:rsidTr="00796ED7">
        <w:tc>
          <w:tcPr>
            <w:tcW w:w="4365" w:type="dxa"/>
            <w:vMerge/>
          </w:tcPr>
          <w:p w14:paraId="23447C1B" w14:textId="77777777" w:rsidR="00AA3B14" w:rsidRPr="003B455E" w:rsidRDefault="00AA3B14" w:rsidP="00AA3B14">
            <w:pPr>
              <w:rPr>
                <w:rFonts w:cstheme="minorHAnsi"/>
              </w:rPr>
            </w:pPr>
          </w:p>
        </w:tc>
        <w:tc>
          <w:tcPr>
            <w:tcW w:w="1380" w:type="dxa"/>
            <w:vAlign w:val="bottom"/>
          </w:tcPr>
          <w:p w14:paraId="1559E4EA" w14:textId="77777777" w:rsidR="00AA3B14" w:rsidRPr="003B455E" w:rsidRDefault="00AA3B14" w:rsidP="00AA3B14">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B8E881B" w:rsidR="00AA3B14" w:rsidRPr="003B455E" w:rsidRDefault="00AA3B14" w:rsidP="00AA3B14">
            <w:pPr>
              <w:pStyle w:val="ConsPlusNormal"/>
              <w:rPr>
                <w:rFonts w:asciiTheme="minorHAnsi" w:hAnsiTheme="minorHAnsi" w:cstheme="minorHAnsi"/>
              </w:rPr>
            </w:pPr>
            <w:r>
              <w:rPr>
                <w:color w:val="000000"/>
                <w:szCs w:val="22"/>
              </w:rPr>
              <w:t>11,38%</w:t>
            </w:r>
          </w:p>
        </w:tc>
        <w:tc>
          <w:tcPr>
            <w:tcW w:w="1846" w:type="dxa"/>
            <w:vAlign w:val="bottom"/>
          </w:tcPr>
          <w:p w14:paraId="4EF284CC" w14:textId="1F6D7C40" w:rsidR="00AA3B14" w:rsidRPr="00DF065F" w:rsidRDefault="00AA3B14" w:rsidP="00AA3B14">
            <w:pPr>
              <w:pStyle w:val="ConsPlusNormal"/>
              <w:rPr>
                <w:rFonts w:asciiTheme="minorHAnsi" w:hAnsiTheme="minorHAnsi" w:cstheme="minorHAnsi"/>
                <w:highlight w:val="yellow"/>
              </w:rPr>
            </w:pPr>
            <w:r>
              <w:rPr>
                <w:color w:val="000000"/>
                <w:szCs w:val="22"/>
              </w:rPr>
              <w:t>8,14%</w:t>
            </w:r>
          </w:p>
        </w:tc>
      </w:tr>
      <w:tr w:rsidR="00AA3B14" w:rsidRPr="00C50091" w14:paraId="61586E32" w14:textId="77777777" w:rsidTr="00911E07">
        <w:tc>
          <w:tcPr>
            <w:tcW w:w="4365" w:type="dxa"/>
            <w:vMerge/>
          </w:tcPr>
          <w:p w14:paraId="6D68E732" w14:textId="77777777" w:rsidR="00AA3B14" w:rsidRPr="003B455E" w:rsidRDefault="00AA3B14" w:rsidP="00AA3B14">
            <w:pPr>
              <w:rPr>
                <w:rFonts w:cstheme="minorHAnsi"/>
              </w:rPr>
            </w:pPr>
          </w:p>
        </w:tc>
        <w:tc>
          <w:tcPr>
            <w:tcW w:w="1380" w:type="dxa"/>
            <w:vAlign w:val="bottom"/>
          </w:tcPr>
          <w:p w14:paraId="6C7A6518" w14:textId="77777777" w:rsidR="00AA3B14" w:rsidRPr="003B455E" w:rsidRDefault="00AA3B14" w:rsidP="00AA3B1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7FC4674" w:rsidR="00AA3B14" w:rsidRPr="00304CAD" w:rsidRDefault="00AA3B14" w:rsidP="00AA3B14">
            <w:pPr>
              <w:pStyle w:val="ConsPlusNormal"/>
              <w:rPr>
                <w:rFonts w:asciiTheme="minorHAnsi" w:hAnsiTheme="minorHAnsi" w:cstheme="minorHAnsi"/>
              </w:rPr>
            </w:pPr>
            <w:r>
              <w:rPr>
                <w:color w:val="000000"/>
                <w:szCs w:val="22"/>
              </w:rPr>
              <w:t>24,83%</w:t>
            </w:r>
          </w:p>
        </w:tc>
        <w:tc>
          <w:tcPr>
            <w:tcW w:w="1846" w:type="dxa"/>
            <w:vAlign w:val="bottom"/>
          </w:tcPr>
          <w:p w14:paraId="4946C1EE" w14:textId="4652B428" w:rsidR="00AA3B14" w:rsidRPr="00304CAD" w:rsidRDefault="00AA3B14" w:rsidP="00AA3B14">
            <w:pPr>
              <w:pStyle w:val="ConsPlusNormal"/>
              <w:rPr>
                <w:rFonts w:asciiTheme="minorHAnsi" w:hAnsiTheme="minorHAnsi" w:cstheme="minorHAnsi"/>
              </w:rPr>
            </w:pPr>
            <w:r>
              <w:rPr>
                <w:color w:val="000000"/>
                <w:szCs w:val="22"/>
              </w:rPr>
              <w:t>-2,61%</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1A3404" w:rsidRDefault="00DF065F" w:rsidP="00DF065F">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vAlign w:val="center"/>
          </w:tcPr>
          <w:p w14:paraId="0B6591EC" w14:textId="583B5498" w:rsidR="00DF065F" w:rsidRPr="00304CAD" w:rsidRDefault="00DF065F" w:rsidP="00DF065F">
            <w:pPr>
              <w:pStyle w:val="ConsPlusNormal"/>
              <w:rPr>
                <w:rFonts w:asciiTheme="minorHAnsi" w:hAnsiTheme="minorHAnsi" w:cstheme="minorHAnsi"/>
              </w:rPr>
            </w:pPr>
            <w:r w:rsidRPr="00304CAD">
              <w:rPr>
                <w:color w:val="000000"/>
                <w:szCs w:val="22"/>
              </w:rPr>
              <w:t>-</w:t>
            </w:r>
          </w:p>
        </w:tc>
        <w:tc>
          <w:tcPr>
            <w:tcW w:w="1846" w:type="dxa"/>
          </w:tcPr>
          <w:p w14:paraId="529BB3CB" w14:textId="277B6007" w:rsidR="00DF065F" w:rsidRPr="00304CAD" w:rsidRDefault="00DF065F" w:rsidP="00DF065F">
            <w:pPr>
              <w:pStyle w:val="ConsPlusNormal"/>
              <w:rPr>
                <w:rFonts w:asciiTheme="minorHAnsi" w:hAnsiTheme="minorHAnsi" w:cstheme="minorHAnsi"/>
              </w:rPr>
            </w:pPr>
            <w:r w:rsidRPr="00304CAD">
              <w:rPr>
                <w:rFonts w:asciiTheme="minorHAnsi" w:hAnsiTheme="minorHAnsi" w:cstheme="minorHAnsi"/>
              </w:rPr>
              <w:t>-</w:t>
            </w:r>
          </w:p>
        </w:tc>
      </w:tr>
    </w:tbl>
    <w:p w14:paraId="328C0895" w14:textId="77293BAF"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6D10EE52" w:rsidR="007A0DCF" w:rsidRPr="00C50091" w:rsidRDefault="007E4067" w:rsidP="00AA3B1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A3B14" w:rsidRPr="00AA3B14">
        <w:rPr>
          <w:rFonts w:cstheme="minorHAnsi"/>
        </w:rPr>
        <w:t>310</w:t>
      </w:r>
      <w:r w:rsidR="00AA3B14">
        <w:rPr>
          <w:rFonts w:cstheme="minorHAnsi"/>
        </w:rPr>
        <w:t xml:space="preserve"> </w:t>
      </w:r>
      <w:r w:rsidR="00AA3B14" w:rsidRPr="00AA3B14">
        <w:rPr>
          <w:rFonts w:cstheme="minorHAnsi"/>
        </w:rPr>
        <w:t>157,62</w:t>
      </w:r>
      <w:r w:rsidR="00AA3B14">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355F2B2" w:rsidR="007A0DCF" w:rsidRPr="00C50091" w:rsidRDefault="007A0DCF" w:rsidP="00AA3B1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A3B14" w:rsidRPr="00AA3B14">
        <w:t>1</w:t>
      </w:r>
      <w:r w:rsidR="00AA3B14">
        <w:t> </w:t>
      </w:r>
      <w:r w:rsidR="00AA3B14" w:rsidRPr="00AA3B14">
        <w:t>319</w:t>
      </w:r>
      <w:r w:rsidR="00AA3B14">
        <w:t> </w:t>
      </w:r>
      <w:r w:rsidR="00AA3B14" w:rsidRPr="00AA3B14">
        <w:t>983</w:t>
      </w:r>
      <w:r w:rsidR="00AA3B14">
        <w:t xml:space="preserve"> </w:t>
      </w:r>
      <w:r w:rsidR="00AA3B14" w:rsidRPr="00AA3B14">
        <w:t>922,45</w:t>
      </w:r>
      <w:r w:rsidR="001411E4">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A1770"/>
    <w:rsid w:val="000A6AF7"/>
    <w:rsid w:val="000C2A9D"/>
    <w:rsid w:val="00102B2B"/>
    <w:rsid w:val="001411E4"/>
    <w:rsid w:val="001428B1"/>
    <w:rsid w:val="001743E3"/>
    <w:rsid w:val="001858EA"/>
    <w:rsid w:val="0019748B"/>
    <w:rsid w:val="001A3404"/>
    <w:rsid w:val="001C62C9"/>
    <w:rsid w:val="001F3FB3"/>
    <w:rsid w:val="00210105"/>
    <w:rsid w:val="002138A2"/>
    <w:rsid w:val="002A5A74"/>
    <w:rsid w:val="002E02FF"/>
    <w:rsid w:val="002F3E55"/>
    <w:rsid w:val="00301EA5"/>
    <w:rsid w:val="00304CAD"/>
    <w:rsid w:val="003142FB"/>
    <w:rsid w:val="00374E3A"/>
    <w:rsid w:val="003B455E"/>
    <w:rsid w:val="003C75C4"/>
    <w:rsid w:val="003C7ED1"/>
    <w:rsid w:val="003F6D2F"/>
    <w:rsid w:val="0045130A"/>
    <w:rsid w:val="00485A6E"/>
    <w:rsid w:val="00492992"/>
    <w:rsid w:val="004C5035"/>
    <w:rsid w:val="004D02F5"/>
    <w:rsid w:val="004E2A71"/>
    <w:rsid w:val="004F5799"/>
    <w:rsid w:val="004F6824"/>
    <w:rsid w:val="00511A5E"/>
    <w:rsid w:val="005953EA"/>
    <w:rsid w:val="005E2EAC"/>
    <w:rsid w:val="005F3669"/>
    <w:rsid w:val="0063016A"/>
    <w:rsid w:val="00635911"/>
    <w:rsid w:val="00691B3A"/>
    <w:rsid w:val="006B6C77"/>
    <w:rsid w:val="006F38FF"/>
    <w:rsid w:val="00701135"/>
    <w:rsid w:val="00781AE1"/>
    <w:rsid w:val="007A0DCF"/>
    <w:rsid w:val="007E1692"/>
    <w:rsid w:val="007E4067"/>
    <w:rsid w:val="00841F4D"/>
    <w:rsid w:val="008462F6"/>
    <w:rsid w:val="00876ABD"/>
    <w:rsid w:val="00885BEB"/>
    <w:rsid w:val="008E582E"/>
    <w:rsid w:val="00951A11"/>
    <w:rsid w:val="00966DCE"/>
    <w:rsid w:val="00986649"/>
    <w:rsid w:val="0099110E"/>
    <w:rsid w:val="009B11A5"/>
    <w:rsid w:val="009C3074"/>
    <w:rsid w:val="009D5F29"/>
    <w:rsid w:val="00A23348"/>
    <w:rsid w:val="00A27DAB"/>
    <w:rsid w:val="00A34267"/>
    <w:rsid w:val="00A523F4"/>
    <w:rsid w:val="00AA3B14"/>
    <w:rsid w:val="00AD2AFD"/>
    <w:rsid w:val="00B26823"/>
    <w:rsid w:val="00B54044"/>
    <w:rsid w:val="00B67A62"/>
    <w:rsid w:val="00B83893"/>
    <w:rsid w:val="00BE2C39"/>
    <w:rsid w:val="00BE47A3"/>
    <w:rsid w:val="00BF32E1"/>
    <w:rsid w:val="00BF48F0"/>
    <w:rsid w:val="00C17507"/>
    <w:rsid w:val="00C45B63"/>
    <w:rsid w:val="00C46DB2"/>
    <w:rsid w:val="00C50091"/>
    <w:rsid w:val="00C75DF9"/>
    <w:rsid w:val="00D16BF5"/>
    <w:rsid w:val="00D252A9"/>
    <w:rsid w:val="00D3236E"/>
    <w:rsid w:val="00D841DF"/>
    <w:rsid w:val="00DD5572"/>
    <w:rsid w:val="00DF065F"/>
    <w:rsid w:val="00E155C3"/>
    <w:rsid w:val="00E4575A"/>
    <w:rsid w:val="00E66B06"/>
    <w:rsid w:val="00EC6EC8"/>
    <w:rsid w:val="00EF4FEB"/>
    <w:rsid w:val="00F55BB0"/>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AA3-4693-8194-B6F204B3B05D}"/>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A3-4693-8194-B6F204B3B0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0.10616063025518969</c:v>
                </c:pt>
                <c:pt idx="1">
                  <c:v>6.7828417517701606E-2</c:v>
                </c:pt>
                <c:pt idx="2">
                  <c:v>2.7307138474753689E-2</c:v>
                </c:pt>
                <c:pt idx="3">
                  <c:v>0</c:v>
                </c:pt>
                <c:pt idx="4">
                  <c:v>0</c:v>
                </c:pt>
              </c:numCache>
            </c:numRef>
          </c:val>
          <c:extLst>
            <c:ext xmlns:c16="http://schemas.microsoft.com/office/drawing/2014/chart" uri="{C3380CC4-5D6E-409C-BE32-E72D297353CC}">
              <c16:uniqueId val="{00000001-7AA3-4693-8194-B6F204B3B05D}"/>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59</cp:revision>
  <cp:lastPrinted>2021-09-07T11:44:00Z</cp:lastPrinted>
  <dcterms:created xsi:type="dcterms:W3CDTF">2021-09-23T14:19:00Z</dcterms:created>
  <dcterms:modified xsi:type="dcterms:W3CDTF">2023-08-09T08:18:00Z</dcterms:modified>
</cp:coreProperties>
</file>