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215E54B5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3412FB">
        <w:rPr>
          <w:rFonts w:cstheme="minorHAnsi"/>
        </w:rPr>
        <w:t>3</w:t>
      </w:r>
      <w:r w:rsidR="00EF0A64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5A2901">
        <w:rPr>
          <w:rFonts w:cstheme="minorHAnsi"/>
        </w:rPr>
        <w:t>0</w:t>
      </w:r>
      <w:r w:rsidR="00EF0A64">
        <w:rPr>
          <w:rFonts w:cstheme="minorHAnsi"/>
        </w:rPr>
        <w:t>7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1D392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0F3CC5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2FFFA058" w:rsidR="002E02FF" w:rsidRPr="00A36336" w:rsidRDefault="000F3CC5" w:rsidP="00364492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  <w:r w:rsidR="003B7A84">
              <w:rPr>
                <w:rFonts w:cstheme="minorHAnsi"/>
              </w:rPr>
              <w:t>8</w:t>
            </w:r>
            <w:r w:rsidR="00610C76" w:rsidRPr="00F243DF">
              <w:rPr>
                <w:rFonts w:cstheme="minorHAnsi"/>
              </w:rPr>
              <w:t>,</w:t>
            </w:r>
            <w:r w:rsidR="00364492">
              <w:rPr>
                <w:rFonts w:cstheme="minorHAnsi"/>
              </w:rPr>
              <w:t>96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5FB09C2C" w:rsidR="000F3CC5" w:rsidRDefault="000F3CC5" w:rsidP="0036449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364492">
              <w:rPr>
                <w:rFonts w:cstheme="minorHAnsi"/>
              </w:rPr>
              <w:t>88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136E056C" w:rsidR="002E02FF" w:rsidRPr="005A2901" w:rsidRDefault="00F91F6B" w:rsidP="003B7A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364492">
              <w:rPr>
                <w:rFonts w:cstheme="minorHAnsi"/>
              </w:rPr>
              <w:t>95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3F40F2A3" w:rsidR="00FF2BA2" w:rsidRPr="00F243DF" w:rsidRDefault="00894A59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70CE924C" w:rsidR="00FF2BA2" w:rsidRPr="00F243DF" w:rsidRDefault="00006C68" w:rsidP="003B7A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94A59">
              <w:rPr>
                <w:rFonts w:cstheme="minorHAnsi"/>
              </w:rPr>
              <w:t>,</w:t>
            </w:r>
            <w:r w:rsidR="00364492">
              <w:rPr>
                <w:rFonts w:cstheme="minorHAnsi"/>
              </w:rPr>
              <w:t>38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573C2A2F" w:rsidR="00A41EB3" w:rsidRPr="00F243DF" w:rsidRDefault="000F3CC5" w:rsidP="003B7A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3B7A84">
              <w:rPr>
                <w:rFonts w:cstheme="minorHAnsi"/>
              </w:rPr>
              <w:t>80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9997FE5" w14:textId="77777777" w:rsidR="005A2901" w:rsidRDefault="009A6D5D" w:rsidP="005A290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5A2901">
              <w:rPr>
                <w:rFonts w:asciiTheme="minorHAnsi" w:hAnsiTheme="minorHAnsi" w:cstheme="minorHAnsi"/>
              </w:rPr>
              <w:t>*</w:t>
            </w:r>
          </w:p>
          <w:p w14:paraId="377B7C46" w14:textId="371B9884" w:rsidR="009A6D5D" w:rsidRPr="003B455E" w:rsidRDefault="005A2901" w:rsidP="00EF0A6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EF0A64">
              <w:rPr>
                <w:rFonts w:asciiTheme="minorHAnsi" w:hAnsiTheme="minorHAnsi" w:cstheme="minorHAnsi"/>
                <w:sz w:val="12"/>
                <w:szCs w:val="12"/>
              </w:rPr>
              <w:t>июнь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0F3CC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364492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364492" w:rsidRPr="003B455E" w:rsidRDefault="00364492" w:rsidP="0036449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364492" w:rsidRPr="003B455E" w:rsidRDefault="00364492" w:rsidP="0036449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1F4EDE59" w:rsidR="00364492" w:rsidRPr="003B455E" w:rsidRDefault="00364492" w:rsidP="0036449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0,12%</w:t>
            </w:r>
          </w:p>
        </w:tc>
        <w:tc>
          <w:tcPr>
            <w:tcW w:w="1846" w:type="dxa"/>
            <w:vAlign w:val="bottom"/>
          </w:tcPr>
          <w:p w14:paraId="5DA42905" w14:textId="23377F98" w:rsidR="00364492" w:rsidRPr="00E61D7D" w:rsidRDefault="00364492" w:rsidP="00364492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-0,25%</w:t>
            </w:r>
          </w:p>
        </w:tc>
      </w:tr>
      <w:tr w:rsidR="00364492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364492" w:rsidRPr="003B455E" w:rsidRDefault="00364492" w:rsidP="0036449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364492" w:rsidRPr="003B455E" w:rsidRDefault="00364492" w:rsidP="0036449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45E57A8A" w:rsidR="00364492" w:rsidRPr="003B455E" w:rsidRDefault="00364492" w:rsidP="0036449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-1,00%</w:t>
            </w:r>
          </w:p>
        </w:tc>
        <w:tc>
          <w:tcPr>
            <w:tcW w:w="1846" w:type="dxa"/>
            <w:vAlign w:val="bottom"/>
          </w:tcPr>
          <w:p w14:paraId="0A9EC4F7" w14:textId="1E148977" w:rsidR="00364492" w:rsidRPr="00E61D7D" w:rsidRDefault="00364492" w:rsidP="00364492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-2,06%</w:t>
            </w:r>
          </w:p>
        </w:tc>
      </w:tr>
      <w:tr w:rsidR="00364492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364492" w:rsidRPr="003B455E" w:rsidRDefault="00364492" w:rsidP="0036449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364492" w:rsidRPr="003B455E" w:rsidRDefault="00364492" w:rsidP="0036449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40C60CDB" w:rsidR="00364492" w:rsidRPr="003B455E" w:rsidRDefault="00364492" w:rsidP="0036449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-1,00%</w:t>
            </w:r>
          </w:p>
        </w:tc>
        <w:tc>
          <w:tcPr>
            <w:tcW w:w="1846" w:type="dxa"/>
            <w:vAlign w:val="bottom"/>
          </w:tcPr>
          <w:p w14:paraId="5A1631C8" w14:textId="7CB3BEEA" w:rsidR="00364492" w:rsidRPr="00E61D7D" w:rsidRDefault="00364492" w:rsidP="00364492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-3,76%</w:t>
            </w:r>
          </w:p>
        </w:tc>
      </w:tr>
      <w:tr w:rsidR="00364492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364492" w:rsidRPr="003B455E" w:rsidRDefault="00364492" w:rsidP="0036449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364492" w:rsidRPr="003B455E" w:rsidRDefault="00364492" w:rsidP="0036449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48A46366" w:rsidR="00364492" w:rsidRPr="003B455E" w:rsidRDefault="00364492" w:rsidP="0036449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-2,63%</w:t>
            </w:r>
          </w:p>
        </w:tc>
        <w:tc>
          <w:tcPr>
            <w:tcW w:w="1846" w:type="dxa"/>
            <w:vAlign w:val="bottom"/>
          </w:tcPr>
          <w:p w14:paraId="4EF284CC" w14:textId="792D0A54" w:rsidR="00364492" w:rsidRPr="00E61D7D" w:rsidRDefault="00364492" w:rsidP="00364492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-5,87%</w:t>
            </w:r>
          </w:p>
        </w:tc>
      </w:tr>
      <w:tr w:rsidR="00364492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364492" w:rsidRPr="003B455E" w:rsidRDefault="00364492" w:rsidP="0036449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364492" w:rsidRPr="003B455E" w:rsidRDefault="00364492" w:rsidP="0036449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64ECB43D" w:rsidR="00364492" w:rsidRPr="003B455E" w:rsidRDefault="00364492" w:rsidP="0036449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-25,66%</w:t>
            </w:r>
          </w:p>
        </w:tc>
        <w:tc>
          <w:tcPr>
            <w:tcW w:w="1846" w:type="dxa"/>
            <w:vAlign w:val="bottom"/>
          </w:tcPr>
          <w:p w14:paraId="4946C1EE" w14:textId="1976E82E" w:rsidR="00364492" w:rsidRPr="00E61D7D" w:rsidRDefault="00364492" w:rsidP="00364492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-53,10%</w:t>
            </w:r>
          </w:p>
        </w:tc>
      </w:tr>
      <w:tr w:rsidR="00364492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364492" w:rsidRPr="003B455E" w:rsidRDefault="00364492" w:rsidP="00364492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364492" w:rsidRPr="003B455E" w:rsidRDefault="00364492" w:rsidP="0036449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061E6AC1" w:rsidR="00364492" w:rsidRPr="009C4E0F" w:rsidRDefault="00364492" w:rsidP="003644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-56,02%</w:t>
            </w:r>
          </w:p>
        </w:tc>
        <w:tc>
          <w:tcPr>
            <w:tcW w:w="1846" w:type="dxa"/>
            <w:vAlign w:val="bottom"/>
          </w:tcPr>
          <w:p w14:paraId="529BB3CB" w14:textId="38E508EE" w:rsidR="00364492" w:rsidRPr="00E61D7D" w:rsidRDefault="00364492" w:rsidP="00364492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-93,69%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2A304294" w:rsidR="007A0DCF" w:rsidRPr="00C50091" w:rsidRDefault="007E4067" w:rsidP="0036449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364492" w:rsidRPr="00364492">
        <w:rPr>
          <w:rFonts w:cstheme="minorHAnsi"/>
        </w:rPr>
        <w:t>237,79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4A8DD4E0" w:rsidR="0098657F" w:rsidRDefault="007A0DCF" w:rsidP="0036449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364492" w:rsidRPr="00364492">
        <w:rPr>
          <w:rFonts w:cstheme="minorHAnsi"/>
        </w:rPr>
        <w:t>51</w:t>
      </w:r>
      <w:r w:rsidR="00364492">
        <w:rPr>
          <w:rFonts w:cstheme="minorHAnsi"/>
        </w:rPr>
        <w:t> </w:t>
      </w:r>
      <w:r w:rsidR="00364492" w:rsidRPr="00364492">
        <w:rPr>
          <w:rFonts w:cstheme="minorHAnsi"/>
        </w:rPr>
        <w:t>837</w:t>
      </w:r>
      <w:r w:rsidR="00364492">
        <w:rPr>
          <w:rFonts w:cstheme="minorHAnsi"/>
        </w:rPr>
        <w:t xml:space="preserve"> </w:t>
      </w:r>
      <w:bookmarkStart w:id="0" w:name="_GoBack"/>
      <w:bookmarkEnd w:id="0"/>
      <w:r w:rsidR="00364492" w:rsidRPr="00364492">
        <w:rPr>
          <w:rFonts w:cstheme="minorHAnsi"/>
        </w:rPr>
        <w:t>792,47</w:t>
      </w:r>
      <w:r w:rsidR="00364492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E2EAC"/>
    <w:rsid w:val="00605B5A"/>
    <w:rsid w:val="00610C76"/>
    <w:rsid w:val="006342CC"/>
    <w:rsid w:val="00656118"/>
    <w:rsid w:val="00687A57"/>
    <w:rsid w:val="006F22C8"/>
    <w:rsid w:val="006F317C"/>
    <w:rsid w:val="00701135"/>
    <w:rsid w:val="00711972"/>
    <w:rsid w:val="007A0DCF"/>
    <w:rsid w:val="007E1692"/>
    <w:rsid w:val="007E4067"/>
    <w:rsid w:val="007E684E"/>
    <w:rsid w:val="00851776"/>
    <w:rsid w:val="00876ABD"/>
    <w:rsid w:val="00892B09"/>
    <w:rsid w:val="00894A5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1D7D"/>
    <w:rsid w:val="00E66B06"/>
    <w:rsid w:val="00EC506C"/>
    <w:rsid w:val="00ED759A"/>
    <w:rsid w:val="00EF0A64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42</cp:revision>
  <cp:lastPrinted>2021-09-07T11:44:00Z</cp:lastPrinted>
  <dcterms:created xsi:type="dcterms:W3CDTF">2021-10-05T09:14:00Z</dcterms:created>
  <dcterms:modified xsi:type="dcterms:W3CDTF">2023-08-09T08:28:00Z</dcterms:modified>
</cp:coreProperties>
</file>