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B5E44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является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ММВБ-РТС». Фонд инвестирует преимущественно в облигации российских компаний и РФ.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837F7">
              <w:t>21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D00B3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D00B3" w:rsidRDefault="002D00B3" w:rsidP="002D00B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№24021RMFS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2D00B3" w:rsidRDefault="002D00B3" w:rsidP="002D00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2D00B3" w:rsidRDefault="002D00B3" w:rsidP="002D00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11,89</w:t>
                  </w:r>
                </w:p>
              </w:tc>
            </w:tr>
            <w:tr w:rsidR="002D00B3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D00B3" w:rsidRDefault="002D00B3" w:rsidP="002D00B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2D00B3" w:rsidRDefault="002D00B3" w:rsidP="002D00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2D00B3" w:rsidRDefault="002D00B3" w:rsidP="002D00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7,61</w:t>
                  </w:r>
                </w:p>
              </w:tc>
            </w:tr>
            <w:tr w:rsidR="002D00B3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D00B3" w:rsidRDefault="002D00B3" w:rsidP="002D00B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:rsidR="002D00B3" w:rsidRDefault="002D00B3" w:rsidP="002D00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:rsidR="002D00B3" w:rsidRDefault="002D00B3" w:rsidP="002D00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7,43</w:t>
                  </w:r>
                </w:p>
              </w:tc>
            </w:tr>
            <w:tr w:rsidR="002D00B3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D00B3" w:rsidRDefault="002D00B3" w:rsidP="002D00B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2D00B3" w:rsidRDefault="002D00B3" w:rsidP="002D00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2D00B3" w:rsidRDefault="002D00B3" w:rsidP="002D00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6,38</w:t>
                  </w:r>
                </w:p>
              </w:tc>
            </w:tr>
            <w:tr w:rsidR="002D00B3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D00B3" w:rsidRDefault="002D00B3" w:rsidP="002D00B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ТГК-14-001P-01</w:t>
                  </w:r>
                </w:p>
              </w:tc>
              <w:tc>
                <w:tcPr>
                  <w:tcW w:w="882" w:type="pct"/>
                  <w:vAlign w:val="center"/>
                </w:tcPr>
                <w:p w:rsidR="002D00B3" w:rsidRDefault="002D00B3" w:rsidP="002D00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RU000A1066J2</w:t>
                  </w:r>
                </w:p>
              </w:tc>
              <w:tc>
                <w:tcPr>
                  <w:tcW w:w="1105" w:type="pct"/>
                  <w:vAlign w:val="center"/>
                </w:tcPr>
                <w:p w:rsidR="002D00B3" w:rsidRDefault="002D00B3" w:rsidP="002D00B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268A16A" wp14:editId="2499748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6C726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7E4549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4549" w:rsidRPr="00250C76" w:rsidRDefault="007E4549" w:rsidP="007E4549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7E4549" w:rsidRPr="00FC6A6C" w:rsidRDefault="007E4549" w:rsidP="007E45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</w:tr>
            <w:tr w:rsidR="007E4549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4549" w:rsidRPr="00250C76" w:rsidRDefault="007E4549" w:rsidP="007E454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4549" w:rsidRPr="00FC6A6C" w:rsidRDefault="007E4549" w:rsidP="007E45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7E4549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4549" w:rsidRPr="00250C76" w:rsidRDefault="007E4549" w:rsidP="007E454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4549" w:rsidRPr="00FC6A6C" w:rsidRDefault="007E4549" w:rsidP="007E45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40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28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7E4549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4549" w:rsidRPr="00250C76" w:rsidRDefault="007E4549" w:rsidP="007E454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4549" w:rsidRPr="00FC6A6C" w:rsidRDefault="007E4549" w:rsidP="007E45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14,5%</w:t>
                  </w:r>
                </w:p>
              </w:tc>
              <w:tc>
                <w:tcPr>
                  <w:tcW w:w="840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</w:tr>
            <w:tr w:rsidR="007E4549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E4549" w:rsidRPr="00250C76" w:rsidRDefault="007E4549" w:rsidP="007E454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E4549" w:rsidRPr="00FC6A6C" w:rsidRDefault="007E4549" w:rsidP="007E454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28" w:type="pct"/>
                  <w:vAlign w:val="center"/>
                </w:tcPr>
                <w:p w:rsidR="007E4549" w:rsidRDefault="007E4549" w:rsidP="007E454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8,5%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E6A98">
              <w:rPr>
                <w:b/>
              </w:rPr>
              <w:t>1,33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222E0">
              <w:rPr>
                <w:b/>
              </w:rPr>
              <w:t>3 369 397 460,42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D25484" w:rsidRPr="006C7260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F06C82" w:rsidRPr="00F06C82">
                    <w:rPr>
                      <w:sz w:val="14"/>
                    </w:rPr>
                    <w:t>Индикатор «Альфа-Капитал Облигации»</w:t>
                  </w:r>
                  <w:r w:rsidR="00F06C82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2B22"/>
    <w:rsid w:val="00031217"/>
    <w:rsid w:val="00050665"/>
    <w:rsid w:val="00063091"/>
    <w:rsid w:val="00090FB7"/>
    <w:rsid w:val="00092A57"/>
    <w:rsid w:val="00092C3D"/>
    <w:rsid w:val="00092FA7"/>
    <w:rsid w:val="000E2C0D"/>
    <w:rsid w:val="00100D52"/>
    <w:rsid w:val="0011524F"/>
    <w:rsid w:val="00122B90"/>
    <w:rsid w:val="00126067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E5B78"/>
    <w:rsid w:val="001F3BBE"/>
    <w:rsid w:val="00230966"/>
    <w:rsid w:val="00250C76"/>
    <w:rsid w:val="002639C3"/>
    <w:rsid w:val="00272C77"/>
    <w:rsid w:val="00282AC3"/>
    <w:rsid w:val="00283A03"/>
    <w:rsid w:val="002D00B3"/>
    <w:rsid w:val="002E6A98"/>
    <w:rsid w:val="00324C85"/>
    <w:rsid w:val="0033036F"/>
    <w:rsid w:val="00345DE5"/>
    <w:rsid w:val="00350CC8"/>
    <w:rsid w:val="00377AA2"/>
    <w:rsid w:val="00396F86"/>
    <w:rsid w:val="003C5660"/>
    <w:rsid w:val="003C6249"/>
    <w:rsid w:val="004002D4"/>
    <w:rsid w:val="004070AC"/>
    <w:rsid w:val="004074F3"/>
    <w:rsid w:val="004837F7"/>
    <w:rsid w:val="00496BD8"/>
    <w:rsid w:val="004E22C8"/>
    <w:rsid w:val="005263D4"/>
    <w:rsid w:val="00561A55"/>
    <w:rsid w:val="00566956"/>
    <w:rsid w:val="00585015"/>
    <w:rsid w:val="00596E3B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DAF"/>
    <w:rsid w:val="006A52E9"/>
    <w:rsid w:val="006B571D"/>
    <w:rsid w:val="006C4C61"/>
    <w:rsid w:val="006C7260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E127F"/>
    <w:rsid w:val="007E4549"/>
    <w:rsid w:val="007E65F9"/>
    <w:rsid w:val="00802D4A"/>
    <w:rsid w:val="008550A1"/>
    <w:rsid w:val="00856E8D"/>
    <w:rsid w:val="00861E70"/>
    <w:rsid w:val="008764D8"/>
    <w:rsid w:val="008C34C5"/>
    <w:rsid w:val="008C6C21"/>
    <w:rsid w:val="0090188D"/>
    <w:rsid w:val="00912219"/>
    <w:rsid w:val="00923988"/>
    <w:rsid w:val="009A0CDC"/>
    <w:rsid w:val="009C4836"/>
    <w:rsid w:val="009F28EB"/>
    <w:rsid w:val="00A003E1"/>
    <w:rsid w:val="00A0773D"/>
    <w:rsid w:val="00A222E0"/>
    <w:rsid w:val="00A243ED"/>
    <w:rsid w:val="00A41760"/>
    <w:rsid w:val="00A41B44"/>
    <w:rsid w:val="00A729D0"/>
    <w:rsid w:val="00AA7E8D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CE6"/>
    <w:rsid w:val="00BF44F2"/>
    <w:rsid w:val="00C121D6"/>
    <w:rsid w:val="00C46389"/>
    <w:rsid w:val="00C52A26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25484"/>
    <w:rsid w:val="00D65E8D"/>
    <w:rsid w:val="00D90DF1"/>
    <w:rsid w:val="00D967A1"/>
    <w:rsid w:val="00DA4D8C"/>
    <w:rsid w:val="00DE34A7"/>
    <w:rsid w:val="00E1072C"/>
    <w:rsid w:val="00E17839"/>
    <w:rsid w:val="00E70778"/>
    <w:rsid w:val="00E7508F"/>
    <w:rsid w:val="00E956F2"/>
    <w:rsid w:val="00EA3AF7"/>
    <w:rsid w:val="00EB5125"/>
    <w:rsid w:val="00EF3CF1"/>
    <w:rsid w:val="00F06C82"/>
    <w:rsid w:val="00F20621"/>
    <w:rsid w:val="00F32BFC"/>
    <w:rsid w:val="00F44EC6"/>
    <w:rsid w:val="00F561E3"/>
    <w:rsid w:val="00F762A1"/>
    <w:rsid w:val="00F94448"/>
    <w:rsid w:val="00FB0F11"/>
    <w:rsid w:val="00FB5E44"/>
    <w:rsid w:val="00FB6B12"/>
    <w:rsid w:val="00FC657D"/>
    <w:rsid w:val="00FC6A6C"/>
    <w:rsid w:val="00FD3842"/>
    <w:rsid w:val="00FE50E7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ДОХОДНОСТЬ!$O$95:$O$97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ДОХОДНОСТЬ!$P$95:$P$97</c:f>
              <c:numCache>
                <c:formatCode>0.0%</c:formatCode>
                <c:ptCount val="3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EA-482D-BB65-5E4D3CC87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065A-4FB1-4EAC-8A42-E0C95F92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43</cp:revision>
  <dcterms:created xsi:type="dcterms:W3CDTF">2023-03-22T13:35:00Z</dcterms:created>
  <dcterms:modified xsi:type="dcterms:W3CDTF">2023-08-09T16:06:00Z</dcterms:modified>
</cp:coreProperties>
</file>