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9A8F8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944E1">
        <w:rPr>
          <w:rFonts w:cstheme="minorHAnsi"/>
        </w:rPr>
        <w:t>31</w:t>
      </w:r>
      <w:r w:rsidR="00986649" w:rsidRPr="0021055B">
        <w:rPr>
          <w:rFonts w:cstheme="minorHAnsi"/>
        </w:rPr>
        <w:t>.</w:t>
      </w:r>
      <w:r w:rsidR="003944E1">
        <w:rPr>
          <w:rFonts w:cstheme="minorHAnsi"/>
        </w:rPr>
        <w:t>10</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3A2B3B4B" w:rsidR="002E02FF" w:rsidRPr="00D51F3E" w:rsidRDefault="009F3620" w:rsidP="009F3620">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49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1F534C6E" w:rsidR="004B0BA5" w:rsidRPr="004F5589" w:rsidRDefault="009339C0" w:rsidP="009F3620">
            <w:pPr>
              <w:jc w:val="center"/>
              <w:rPr>
                <w:rFonts w:cstheme="minorHAnsi"/>
              </w:rPr>
            </w:pPr>
            <w:r>
              <w:rPr>
                <w:rFonts w:cstheme="minorHAnsi"/>
              </w:rPr>
              <w:t>5</w:t>
            </w:r>
            <w:r w:rsidR="009F3620">
              <w:rPr>
                <w:rFonts w:cstheme="minorHAnsi"/>
              </w:rPr>
              <w:t>8</w:t>
            </w:r>
            <w:r w:rsidR="004B0BA5">
              <w:rPr>
                <w:rFonts w:cstheme="minorHAnsi"/>
              </w:rPr>
              <w:t>,</w:t>
            </w:r>
            <w:r w:rsidR="00390AA5">
              <w:rPr>
                <w:rFonts w:cstheme="minorHAnsi"/>
              </w:rPr>
              <w:t>4</w:t>
            </w:r>
            <w:r w:rsidR="009F3620">
              <w:rPr>
                <w:rFonts w:cstheme="minorHAnsi"/>
              </w:rPr>
              <w:t>0</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554869D8" w:rsidR="007152E7" w:rsidRPr="00D51F3E" w:rsidRDefault="006B22A5" w:rsidP="009F3620">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9F3620">
              <w:rPr>
                <w:rFonts w:cstheme="minorHAnsi"/>
              </w:rPr>
              <w:t>64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646A4002" w:rsidR="006B22A5" w:rsidRPr="00D51F3E" w:rsidRDefault="00C7473B" w:rsidP="009F3620">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9F3620">
              <w:rPr>
                <w:rFonts w:cstheme="minorHAnsi"/>
              </w:rPr>
              <w:t>95</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64B05E39" w:rsidR="006B22A5" w:rsidRPr="00D51F3E" w:rsidRDefault="009339C0" w:rsidP="009F3620">
            <w:pPr>
              <w:jc w:val="center"/>
              <w:rPr>
                <w:rFonts w:cstheme="minorHAnsi"/>
                <w:lang w:val="en-US"/>
              </w:rPr>
            </w:pPr>
            <w:r>
              <w:rPr>
                <w:rFonts w:cstheme="minorHAnsi"/>
              </w:rPr>
              <w:t>2</w:t>
            </w:r>
            <w:r w:rsidR="005F1E4B">
              <w:rPr>
                <w:rFonts w:cstheme="minorHAnsi"/>
              </w:rPr>
              <w:t>,</w:t>
            </w:r>
            <w:r w:rsidR="009F3620">
              <w:rPr>
                <w:rFonts w:cstheme="minorHAnsi"/>
              </w:rPr>
              <w:t>56</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5B239FD6" w14:textId="77777777" w:rsidR="00341B4B" w:rsidRDefault="00B457D4" w:rsidP="00341B4B">
            <w:pPr>
              <w:pStyle w:val="ConsPlusNormal"/>
              <w:ind w:left="283"/>
              <w:rPr>
                <w:rFonts w:asciiTheme="minorHAnsi" w:hAnsiTheme="minorHAnsi" w:cstheme="minorHAnsi"/>
              </w:rPr>
            </w:pPr>
            <w:r w:rsidRPr="003B455E">
              <w:rPr>
                <w:rFonts w:asciiTheme="minorHAnsi" w:hAnsiTheme="minorHAnsi" w:cstheme="minorHAnsi"/>
              </w:rPr>
              <w:t>инфляции</w:t>
            </w:r>
            <w:r w:rsidR="00341B4B">
              <w:rPr>
                <w:rFonts w:asciiTheme="minorHAnsi" w:hAnsiTheme="minorHAnsi" w:cstheme="minorHAnsi"/>
              </w:rPr>
              <w:t>*</w:t>
            </w:r>
          </w:p>
          <w:p w14:paraId="26300801" w14:textId="52FCF68F" w:rsidR="00B457D4" w:rsidRPr="00C50091" w:rsidRDefault="00341B4B" w:rsidP="00440609">
            <w:pPr>
              <w:pStyle w:val="ConsPlusNormal"/>
              <w:rPr>
                <w:rFonts w:asciiTheme="minorHAnsi" w:hAnsiTheme="minorHAnsi" w:cstheme="minorHAnsi"/>
                <w:highlight w:val="red"/>
              </w:rPr>
            </w:pPr>
            <w:r>
              <w:rPr>
                <w:rFonts w:cstheme="minorHAnsi"/>
                <w:sz w:val="12"/>
                <w:szCs w:val="12"/>
              </w:rPr>
              <w:t xml:space="preserve">*(использованы данные за </w:t>
            </w:r>
            <w:r w:rsidR="00440609">
              <w:rPr>
                <w:rFonts w:cstheme="minorHAnsi"/>
                <w:sz w:val="12"/>
                <w:szCs w:val="12"/>
              </w:rPr>
              <w:t>сентябрь</w:t>
            </w:r>
            <w:r>
              <w:rPr>
                <w:rFonts w:cstheme="minorHAnsi"/>
                <w:sz w:val="12"/>
                <w:szCs w:val="12"/>
              </w:rPr>
              <w:t xml:space="preserve"> 2023)</w:t>
            </w:r>
          </w:p>
        </w:tc>
      </w:tr>
      <w:tr w:rsidR="00440609"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440609" w:rsidRPr="003B455E" w:rsidRDefault="00440609" w:rsidP="00440609">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440609" w:rsidRPr="003B455E" w:rsidRDefault="00440609" w:rsidP="0044060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1B12A867" w:rsidR="00440609" w:rsidRPr="003B455E" w:rsidRDefault="00440609" w:rsidP="00440609">
            <w:pPr>
              <w:pStyle w:val="ConsPlusNormal"/>
              <w:rPr>
                <w:rFonts w:asciiTheme="minorHAnsi" w:hAnsiTheme="minorHAnsi" w:cstheme="minorHAnsi"/>
              </w:rPr>
            </w:pPr>
            <w:r>
              <w:rPr>
                <w:color w:val="000000"/>
                <w:szCs w:val="22"/>
              </w:rPr>
              <w:t>0,74%</w:t>
            </w:r>
          </w:p>
        </w:tc>
        <w:tc>
          <w:tcPr>
            <w:tcW w:w="1842" w:type="dxa"/>
            <w:tcBorders>
              <w:top w:val="single" w:sz="4" w:space="0" w:color="auto"/>
              <w:bottom w:val="single" w:sz="4" w:space="0" w:color="auto"/>
              <w:right w:val="single" w:sz="4" w:space="0" w:color="auto"/>
            </w:tcBorders>
            <w:vAlign w:val="bottom"/>
          </w:tcPr>
          <w:p w14:paraId="5DA42905" w14:textId="2F61B08A" w:rsidR="00440609" w:rsidRPr="00295F63" w:rsidRDefault="00440609" w:rsidP="00440609">
            <w:pPr>
              <w:pStyle w:val="ConsPlusNormal"/>
              <w:rPr>
                <w:rFonts w:asciiTheme="minorHAnsi" w:hAnsiTheme="minorHAnsi" w:cstheme="minorHAnsi"/>
                <w:highlight w:val="yellow"/>
              </w:rPr>
            </w:pPr>
            <w:r>
              <w:rPr>
                <w:color w:val="000000"/>
                <w:szCs w:val="22"/>
              </w:rPr>
              <w:t>-0,13%</w:t>
            </w:r>
          </w:p>
        </w:tc>
      </w:tr>
      <w:tr w:rsidR="00440609"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440609" w:rsidRPr="003B455E" w:rsidRDefault="00440609" w:rsidP="00440609">
            <w:pPr>
              <w:rPr>
                <w:rFonts w:cstheme="minorHAnsi"/>
              </w:rPr>
            </w:pPr>
          </w:p>
        </w:tc>
        <w:tc>
          <w:tcPr>
            <w:tcW w:w="1380" w:type="dxa"/>
            <w:tcBorders>
              <w:top w:val="single" w:sz="4" w:space="0" w:color="auto"/>
              <w:bottom w:val="single" w:sz="4" w:space="0" w:color="auto"/>
            </w:tcBorders>
            <w:vAlign w:val="bottom"/>
          </w:tcPr>
          <w:p w14:paraId="6B673F49" w14:textId="77777777" w:rsidR="00440609" w:rsidRPr="003B455E" w:rsidRDefault="00440609" w:rsidP="0044060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2CAD1BA" w:rsidR="00440609" w:rsidRPr="003B455E" w:rsidRDefault="00440609" w:rsidP="00440609">
            <w:pPr>
              <w:pStyle w:val="ConsPlusNormal"/>
              <w:rPr>
                <w:rFonts w:asciiTheme="minorHAnsi" w:hAnsiTheme="minorHAnsi" w:cstheme="minorHAnsi"/>
              </w:rPr>
            </w:pPr>
            <w:r>
              <w:rPr>
                <w:color w:val="000000"/>
                <w:szCs w:val="22"/>
              </w:rPr>
              <w:t>1,90%</w:t>
            </w:r>
          </w:p>
        </w:tc>
        <w:tc>
          <w:tcPr>
            <w:tcW w:w="1842" w:type="dxa"/>
            <w:tcBorders>
              <w:top w:val="single" w:sz="4" w:space="0" w:color="auto"/>
              <w:bottom w:val="single" w:sz="4" w:space="0" w:color="auto"/>
              <w:right w:val="single" w:sz="4" w:space="0" w:color="auto"/>
            </w:tcBorders>
            <w:vAlign w:val="bottom"/>
          </w:tcPr>
          <w:p w14:paraId="0A9EC4F7" w14:textId="0EE5CCFC" w:rsidR="00440609" w:rsidRPr="00295F63" w:rsidRDefault="00440609" w:rsidP="00440609">
            <w:pPr>
              <w:pStyle w:val="ConsPlusNormal"/>
              <w:rPr>
                <w:rFonts w:asciiTheme="minorHAnsi" w:hAnsiTheme="minorHAnsi" w:cstheme="minorHAnsi"/>
                <w:highlight w:val="yellow"/>
              </w:rPr>
            </w:pPr>
            <w:r>
              <w:rPr>
                <w:color w:val="000000"/>
                <w:szCs w:val="22"/>
              </w:rPr>
              <w:t>0,11%</w:t>
            </w:r>
          </w:p>
        </w:tc>
      </w:tr>
      <w:tr w:rsidR="00440609"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440609" w:rsidRPr="003B455E" w:rsidRDefault="00440609" w:rsidP="00440609">
            <w:pPr>
              <w:rPr>
                <w:rFonts w:cstheme="minorHAnsi"/>
              </w:rPr>
            </w:pPr>
          </w:p>
        </w:tc>
        <w:tc>
          <w:tcPr>
            <w:tcW w:w="1380" w:type="dxa"/>
            <w:tcBorders>
              <w:top w:val="single" w:sz="4" w:space="0" w:color="auto"/>
              <w:bottom w:val="single" w:sz="4" w:space="0" w:color="auto"/>
            </w:tcBorders>
            <w:vAlign w:val="bottom"/>
          </w:tcPr>
          <w:p w14:paraId="0A625FAD" w14:textId="77777777" w:rsidR="00440609" w:rsidRPr="003B455E" w:rsidRDefault="00440609" w:rsidP="0044060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5BAD5815" w:rsidR="00440609" w:rsidRPr="003B455E" w:rsidRDefault="00440609" w:rsidP="00440609">
            <w:pPr>
              <w:pStyle w:val="ConsPlusNormal"/>
              <w:rPr>
                <w:rFonts w:asciiTheme="minorHAnsi" w:hAnsiTheme="minorHAnsi" w:cstheme="minorHAnsi"/>
              </w:rPr>
            </w:pPr>
            <w:r>
              <w:rPr>
                <w:color w:val="000000"/>
                <w:szCs w:val="22"/>
              </w:rPr>
              <w:t>1,77%</w:t>
            </w:r>
          </w:p>
        </w:tc>
        <w:tc>
          <w:tcPr>
            <w:tcW w:w="1842" w:type="dxa"/>
            <w:tcBorders>
              <w:top w:val="single" w:sz="4" w:space="0" w:color="auto"/>
              <w:bottom w:val="single" w:sz="4" w:space="0" w:color="auto"/>
              <w:right w:val="single" w:sz="4" w:space="0" w:color="auto"/>
            </w:tcBorders>
            <w:vAlign w:val="bottom"/>
          </w:tcPr>
          <w:p w14:paraId="5A1631C8" w14:textId="068F3072" w:rsidR="00440609" w:rsidRPr="00295F63" w:rsidRDefault="00440609" w:rsidP="00440609">
            <w:pPr>
              <w:pStyle w:val="ConsPlusNormal"/>
              <w:rPr>
                <w:rFonts w:asciiTheme="minorHAnsi" w:hAnsiTheme="minorHAnsi" w:cstheme="minorHAnsi"/>
                <w:highlight w:val="yellow"/>
              </w:rPr>
            </w:pPr>
            <w:r>
              <w:rPr>
                <w:color w:val="000000"/>
                <w:szCs w:val="22"/>
              </w:rPr>
              <w:t>-1,10%</w:t>
            </w:r>
          </w:p>
        </w:tc>
      </w:tr>
      <w:tr w:rsidR="00440609"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440609" w:rsidRPr="003B455E" w:rsidRDefault="00440609" w:rsidP="00440609">
            <w:pPr>
              <w:rPr>
                <w:rFonts w:cstheme="minorHAnsi"/>
              </w:rPr>
            </w:pPr>
          </w:p>
        </w:tc>
        <w:tc>
          <w:tcPr>
            <w:tcW w:w="1380" w:type="dxa"/>
            <w:tcBorders>
              <w:top w:val="single" w:sz="4" w:space="0" w:color="auto"/>
              <w:bottom w:val="single" w:sz="4" w:space="0" w:color="auto"/>
            </w:tcBorders>
            <w:vAlign w:val="bottom"/>
          </w:tcPr>
          <w:p w14:paraId="1559E4EA" w14:textId="77777777" w:rsidR="00440609" w:rsidRPr="003B455E" w:rsidRDefault="00440609" w:rsidP="0044060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7091FD75" w:rsidR="00440609" w:rsidRPr="0007718D" w:rsidRDefault="00440609" w:rsidP="00440609">
            <w:pPr>
              <w:pStyle w:val="ConsPlusNormal"/>
              <w:rPr>
                <w:rFonts w:asciiTheme="minorHAnsi" w:hAnsiTheme="minorHAnsi" w:cstheme="minorHAnsi"/>
                <w:lang w:val="en-US"/>
              </w:rPr>
            </w:pPr>
            <w:r>
              <w:rPr>
                <w:color w:val="000000"/>
                <w:szCs w:val="22"/>
              </w:rPr>
              <w:t>4,73%</w:t>
            </w:r>
          </w:p>
        </w:tc>
        <w:tc>
          <w:tcPr>
            <w:tcW w:w="1842" w:type="dxa"/>
            <w:tcBorders>
              <w:top w:val="single" w:sz="4" w:space="0" w:color="auto"/>
              <w:bottom w:val="single" w:sz="4" w:space="0" w:color="auto"/>
              <w:right w:val="single" w:sz="4" w:space="0" w:color="auto"/>
            </w:tcBorders>
            <w:vAlign w:val="bottom"/>
          </w:tcPr>
          <w:p w14:paraId="4EF284CC" w14:textId="0B3D2F25" w:rsidR="00440609" w:rsidRPr="00E807E2" w:rsidRDefault="00440609" w:rsidP="00440609">
            <w:pPr>
              <w:pStyle w:val="ConsPlusNormal"/>
              <w:rPr>
                <w:rFonts w:asciiTheme="minorHAnsi" w:hAnsiTheme="minorHAnsi" w:cstheme="minorHAnsi"/>
                <w:lang w:val="en-US"/>
              </w:rPr>
            </w:pPr>
            <w:r>
              <w:rPr>
                <w:color w:val="000000"/>
                <w:szCs w:val="22"/>
              </w:rPr>
              <w:t>-1,27%</w:t>
            </w:r>
          </w:p>
        </w:tc>
      </w:tr>
      <w:bookmarkEnd w:id="0"/>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17D3CB5C" w:rsidR="007A0DCF" w:rsidRPr="00C50091" w:rsidRDefault="007E4067" w:rsidP="009F362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F3620" w:rsidRPr="009F3620">
        <w:rPr>
          <w:rFonts w:cstheme="minorHAnsi"/>
        </w:rPr>
        <w:t>302</w:t>
      </w:r>
      <w:r w:rsidR="009F3620">
        <w:rPr>
          <w:rFonts w:cstheme="minorHAnsi"/>
        </w:rPr>
        <w:t xml:space="preserve"> </w:t>
      </w:r>
      <w:r w:rsidR="009F3620" w:rsidRPr="009F3620">
        <w:rPr>
          <w:rFonts w:cstheme="minorHAnsi"/>
        </w:rPr>
        <w:t>590,79</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A81D1EC" w:rsidR="007A0DCF" w:rsidRPr="00C50091" w:rsidRDefault="007A0DCF" w:rsidP="009F362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F3620" w:rsidRPr="009F3620">
        <w:rPr>
          <w:rFonts w:cstheme="minorHAnsi"/>
        </w:rPr>
        <w:t>257</w:t>
      </w:r>
      <w:r w:rsidR="009F3620">
        <w:rPr>
          <w:rFonts w:cstheme="minorHAnsi"/>
        </w:rPr>
        <w:t> </w:t>
      </w:r>
      <w:r w:rsidR="009F3620" w:rsidRPr="009F3620">
        <w:rPr>
          <w:rFonts w:cstheme="minorHAnsi"/>
        </w:rPr>
        <w:t>574</w:t>
      </w:r>
      <w:r w:rsidR="009F3620">
        <w:rPr>
          <w:rFonts w:cstheme="minorHAnsi"/>
        </w:rPr>
        <w:t xml:space="preserve"> </w:t>
      </w:r>
      <w:r w:rsidR="009F3620" w:rsidRPr="009F3620">
        <w:rPr>
          <w:rFonts w:cstheme="minorHAnsi"/>
        </w:rPr>
        <w:t>296,19</w:t>
      </w:r>
      <w:r w:rsidR="009F3620">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94AB7"/>
    <w:rsid w:val="00295F63"/>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F1E4B"/>
    <w:rsid w:val="00600558"/>
    <w:rsid w:val="0062485B"/>
    <w:rsid w:val="006333A7"/>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82A29"/>
    <w:rsid w:val="00986649"/>
    <w:rsid w:val="0099110E"/>
    <w:rsid w:val="009A6181"/>
    <w:rsid w:val="009D20F1"/>
    <w:rsid w:val="009D5F29"/>
    <w:rsid w:val="009E0F80"/>
    <w:rsid w:val="009F3620"/>
    <w:rsid w:val="00A30D10"/>
    <w:rsid w:val="00A34267"/>
    <w:rsid w:val="00AA1555"/>
    <w:rsid w:val="00AD2AFD"/>
    <w:rsid w:val="00AF0868"/>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4FF7-EFD4-4FA7-8EEC-C1398A10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58</cp:revision>
  <cp:lastPrinted>2021-09-07T11:44:00Z</cp:lastPrinted>
  <dcterms:created xsi:type="dcterms:W3CDTF">2021-10-07T10:42:00Z</dcterms:created>
  <dcterms:modified xsi:type="dcterms:W3CDTF">2023-11-10T06:57:00Z</dcterms:modified>
</cp:coreProperties>
</file>