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31BC8">
              <w:rPr>
                <w:b/>
              </w:rPr>
              <w:t>31.10.2023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E1B36">
              <w:t>40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2018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20181" w:rsidRDefault="00E20181" w:rsidP="00E201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13,12</w:t>
                  </w:r>
                </w:p>
              </w:tc>
            </w:tr>
            <w:tr w:rsidR="00E20181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20181" w:rsidRDefault="00E20181" w:rsidP="00E201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9,52</w:t>
                  </w:r>
                </w:p>
              </w:tc>
            </w:tr>
            <w:tr w:rsidR="00E2018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20181" w:rsidRDefault="00E20181" w:rsidP="00E201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6,04</w:t>
                  </w:r>
                </w:p>
              </w:tc>
            </w:tr>
            <w:tr w:rsidR="00E20181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20181" w:rsidRPr="00E20181" w:rsidRDefault="00E20181" w:rsidP="00E2018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E2018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5,99</w:t>
                  </w:r>
                </w:p>
              </w:tc>
            </w:tr>
            <w:tr w:rsidR="00E2018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20181" w:rsidRDefault="00E20181" w:rsidP="00E201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181" w:rsidRDefault="00E20181" w:rsidP="00E20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500C20">
                    <w:t xml:space="preserve"> </w:t>
                  </w:r>
                  <w:r w:rsidRPr="00500C20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7D208B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D208B" w:rsidRPr="00250C76" w:rsidRDefault="007D208B" w:rsidP="007D208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D208B" w:rsidRPr="00FC6A6C" w:rsidRDefault="007D208B" w:rsidP="007D20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-50,1%</w:t>
                  </w:r>
                </w:p>
              </w:tc>
            </w:tr>
            <w:tr w:rsidR="007D208B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D208B" w:rsidRPr="00250C76" w:rsidRDefault="007D208B" w:rsidP="007D208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08B" w:rsidRPr="00FC6A6C" w:rsidRDefault="007D208B" w:rsidP="007D20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7D208B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D208B" w:rsidRPr="00250C76" w:rsidRDefault="007D208B" w:rsidP="007D208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08B" w:rsidRPr="00FC6A6C" w:rsidRDefault="007D208B" w:rsidP="007D20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7D208B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D208B" w:rsidRPr="00250C76" w:rsidRDefault="007D208B" w:rsidP="007D208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08B" w:rsidRPr="00FC6A6C" w:rsidRDefault="007D208B" w:rsidP="007D20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7D208B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D208B" w:rsidRPr="00250C76" w:rsidRDefault="007D208B" w:rsidP="007D208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08B" w:rsidRPr="00FC6A6C" w:rsidRDefault="007D208B" w:rsidP="007D20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-65,2%</w:t>
                  </w:r>
                </w:p>
              </w:tc>
            </w:tr>
            <w:tr w:rsidR="007D208B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D208B" w:rsidRPr="00250C76" w:rsidRDefault="007D208B" w:rsidP="007D208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08B" w:rsidRPr="00FC6A6C" w:rsidRDefault="007D208B" w:rsidP="007D20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08B" w:rsidRDefault="007D208B" w:rsidP="007D20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-27,0%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A6577F">
              <w:rPr>
                <w:b/>
              </w:rPr>
              <w:t>3 368,48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51710">
              <w:rPr>
                <w:b/>
              </w:rPr>
              <w:t>6 780 175 441,65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Pr="00AB4A42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52ACA"/>
    <w:rsid w:val="00092A57"/>
    <w:rsid w:val="00092C3D"/>
    <w:rsid w:val="000D240E"/>
    <w:rsid w:val="00100D52"/>
    <w:rsid w:val="00122B90"/>
    <w:rsid w:val="00126067"/>
    <w:rsid w:val="0019376B"/>
    <w:rsid w:val="001A3F7F"/>
    <w:rsid w:val="001B14E5"/>
    <w:rsid w:val="001B19CF"/>
    <w:rsid w:val="001D2E5A"/>
    <w:rsid w:val="001D2E61"/>
    <w:rsid w:val="001D2FA3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F78CD"/>
    <w:rsid w:val="00500C20"/>
    <w:rsid w:val="005509E2"/>
    <w:rsid w:val="00561A55"/>
    <w:rsid w:val="00566956"/>
    <w:rsid w:val="005933AF"/>
    <w:rsid w:val="00593FA1"/>
    <w:rsid w:val="00596E3B"/>
    <w:rsid w:val="005B69AC"/>
    <w:rsid w:val="005C564A"/>
    <w:rsid w:val="005C7303"/>
    <w:rsid w:val="005D5B14"/>
    <w:rsid w:val="00605F31"/>
    <w:rsid w:val="00615639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51710"/>
    <w:rsid w:val="00787466"/>
    <w:rsid w:val="007D208B"/>
    <w:rsid w:val="007D5886"/>
    <w:rsid w:val="007E127F"/>
    <w:rsid w:val="007E65F9"/>
    <w:rsid w:val="008550A1"/>
    <w:rsid w:val="008764D8"/>
    <w:rsid w:val="008C34C5"/>
    <w:rsid w:val="008C6C21"/>
    <w:rsid w:val="00912219"/>
    <w:rsid w:val="00923988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D0BBC"/>
    <w:rsid w:val="00AD72DB"/>
    <w:rsid w:val="00AE200D"/>
    <w:rsid w:val="00AF334C"/>
    <w:rsid w:val="00B136C6"/>
    <w:rsid w:val="00B200D2"/>
    <w:rsid w:val="00B300BD"/>
    <w:rsid w:val="00B504D4"/>
    <w:rsid w:val="00B64966"/>
    <w:rsid w:val="00B703A5"/>
    <w:rsid w:val="00BA12BE"/>
    <w:rsid w:val="00BC0CE6"/>
    <w:rsid w:val="00BD31FB"/>
    <w:rsid w:val="00BF1604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25872"/>
    <w:rsid w:val="00D65E8D"/>
    <w:rsid w:val="00D967A1"/>
    <w:rsid w:val="00DA4C9B"/>
    <w:rsid w:val="00DA4D8C"/>
    <w:rsid w:val="00DE34A7"/>
    <w:rsid w:val="00E20181"/>
    <w:rsid w:val="00E372B6"/>
    <w:rsid w:val="00E450AD"/>
    <w:rsid w:val="00E462DD"/>
    <w:rsid w:val="00E70778"/>
    <w:rsid w:val="00E7508F"/>
    <w:rsid w:val="00E956F2"/>
    <w:rsid w:val="00EA3AF7"/>
    <w:rsid w:val="00EB5125"/>
    <w:rsid w:val="00ED5730"/>
    <w:rsid w:val="00EF3CF1"/>
    <w:rsid w:val="00F06250"/>
    <w:rsid w:val="00F5038A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3356-9B84-4694-822D-A7AE7A48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34</cp:revision>
  <dcterms:created xsi:type="dcterms:W3CDTF">2023-03-22T15:22:00Z</dcterms:created>
  <dcterms:modified xsi:type="dcterms:W3CDTF">2023-11-10T16:09:00Z</dcterms:modified>
</cp:coreProperties>
</file>