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9023D9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94001">
        <w:rPr>
          <w:rFonts w:cstheme="minorHAnsi"/>
        </w:rPr>
        <w:t>31</w:t>
      </w:r>
      <w:r w:rsidR="00986649" w:rsidRPr="002A6763">
        <w:rPr>
          <w:rFonts w:cstheme="minorHAnsi"/>
        </w:rPr>
        <w:t>.</w:t>
      </w:r>
      <w:r w:rsidR="00D94001">
        <w:rPr>
          <w:rFonts w:cstheme="minorHAnsi"/>
        </w:rPr>
        <w:t>01</w:t>
      </w:r>
      <w:r w:rsidR="00986649" w:rsidRPr="002A6763">
        <w:rPr>
          <w:rFonts w:cstheme="minorHAnsi"/>
        </w:rPr>
        <w:t>.202</w:t>
      </w:r>
      <w:r w:rsidR="00D94001">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1EBDE649"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C9288E">
        <w:t>1</w:t>
      </w:r>
      <w:r w:rsidR="00F54F05">
        <w:t>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10722047" w:rsidR="002E02FF" w:rsidRPr="00C9288E" w:rsidRDefault="008C4A98" w:rsidP="00F54F05">
            <w:pPr>
              <w:spacing w:line="276" w:lineRule="auto"/>
              <w:jc w:val="center"/>
              <w:rPr>
                <w:rFonts w:cstheme="minorHAnsi"/>
              </w:rPr>
            </w:pPr>
            <w:r>
              <w:rPr>
                <w:rFonts w:cstheme="minorHAnsi"/>
              </w:rPr>
              <w:t>39</w:t>
            </w:r>
            <w:r w:rsidR="006563E3" w:rsidRPr="00424630">
              <w:rPr>
                <w:rFonts w:cstheme="minorHAnsi"/>
              </w:rPr>
              <w:t>,</w:t>
            </w:r>
            <w:r w:rsidR="00F54F05">
              <w:rPr>
                <w:rFonts w:cstheme="minorHAnsi"/>
              </w:rPr>
              <w:t>84</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2E24964" w:rsidR="002E02FF" w:rsidRPr="00F843D8" w:rsidRDefault="00F97BFF" w:rsidP="002E02FF">
            <w:pPr>
              <w:jc w:val="center"/>
              <w:rPr>
                <w:rFonts w:cstheme="minorHAnsi"/>
                <w:lang w:val="en-US"/>
              </w:rPr>
            </w:pPr>
            <w:r w:rsidRPr="00424630">
              <w:rPr>
                <w:rFonts w:cstheme="minorHAnsi"/>
              </w:rPr>
              <w:t>31,</w:t>
            </w:r>
            <w:r w:rsidR="00F54F05">
              <w:rPr>
                <w:rFonts w:cstheme="minorHAnsi"/>
              </w:rPr>
              <w:t>55</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4AB67EFE" w:rsidR="00F97BFF" w:rsidRPr="00F843D8" w:rsidRDefault="00F97BFF" w:rsidP="00F54F05">
            <w:pPr>
              <w:jc w:val="center"/>
              <w:rPr>
                <w:rFonts w:cstheme="minorHAnsi"/>
                <w:lang w:val="en-US"/>
              </w:rPr>
            </w:pPr>
            <w:r w:rsidRPr="00424630">
              <w:rPr>
                <w:rFonts w:cstheme="minorHAnsi"/>
              </w:rPr>
              <w:t>20,</w:t>
            </w:r>
            <w:r w:rsidR="00F54F05">
              <w:rPr>
                <w:rFonts w:cstheme="minorHAnsi"/>
              </w:rPr>
              <w:t>44</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18F38960" w:rsidR="00F97BFF" w:rsidRPr="00C9288E" w:rsidRDefault="008C4A98" w:rsidP="00F54F05">
            <w:pPr>
              <w:jc w:val="center"/>
              <w:rPr>
                <w:rFonts w:cstheme="minorHAnsi"/>
              </w:rPr>
            </w:pPr>
            <w:r>
              <w:rPr>
                <w:rFonts w:cstheme="minorHAnsi"/>
              </w:rPr>
              <w:t>4</w:t>
            </w:r>
            <w:r w:rsidR="00F97BFF" w:rsidRPr="00424630">
              <w:rPr>
                <w:rFonts w:cstheme="minorHAnsi"/>
              </w:rPr>
              <w:t>,</w:t>
            </w:r>
            <w:r w:rsidR="00F54F05">
              <w:rPr>
                <w:rFonts w:cstheme="minorHAnsi"/>
              </w:rPr>
              <w:t>52</w:t>
            </w:r>
          </w:p>
        </w:tc>
      </w:tr>
      <w:tr w:rsidR="008C4A98" w:rsidRPr="00424630" w14:paraId="1C00EC7A" w14:textId="77777777" w:rsidTr="001C14BA">
        <w:tc>
          <w:tcPr>
            <w:tcW w:w="6516" w:type="dxa"/>
          </w:tcPr>
          <w:p w14:paraId="785CF603" w14:textId="61CB7483" w:rsidR="008C4A98" w:rsidRPr="00F843D8" w:rsidRDefault="00F54F05" w:rsidP="008C4A98">
            <w:pPr>
              <w:rPr>
                <w:rFonts w:cstheme="minorHAnsi"/>
              </w:rPr>
            </w:pPr>
            <w:r>
              <w:rPr>
                <w:rFonts w:cstheme="minorHAnsi"/>
              </w:rPr>
              <w:t>Денежные средства на расчетных счетах</w:t>
            </w:r>
          </w:p>
        </w:tc>
        <w:tc>
          <w:tcPr>
            <w:tcW w:w="2829" w:type="dxa"/>
          </w:tcPr>
          <w:p w14:paraId="2156DA49" w14:textId="44D974FC" w:rsidR="008C4A98" w:rsidRPr="00424630" w:rsidRDefault="008C4A98" w:rsidP="00F54F05">
            <w:pPr>
              <w:jc w:val="center"/>
              <w:rPr>
                <w:rFonts w:cstheme="minorHAnsi"/>
              </w:rPr>
            </w:pPr>
            <w:r>
              <w:rPr>
                <w:rFonts w:cstheme="minorHAnsi"/>
              </w:rPr>
              <w:t>2</w:t>
            </w:r>
            <w:r w:rsidRPr="00424630">
              <w:rPr>
                <w:rFonts w:cstheme="minorHAnsi"/>
              </w:rPr>
              <w:t>,</w:t>
            </w:r>
            <w:r w:rsidR="00F54F05">
              <w:rPr>
                <w:rFonts w:cstheme="minorHAnsi"/>
              </w:rPr>
              <w:t>82</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630449" w:rsidRDefault="004F6824" w:rsidP="00526694">
            <w:pPr>
              <w:pStyle w:val="ConsPlusNormal"/>
              <w:ind w:left="283"/>
              <w:jc w:val="both"/>
              <w:rPr>
                <w:rFonts w:asciiTheme="minorHAnsi" w:hAnsiTheme="minorHAnsi" w:cstheme="minorHAnsi"/>
              </w:rPr>
            </w:pPr>
            <w:r w:rsidRPr="00630449">
              <w:rPr>
                <w:rFonts w:asciiTheme="minorHAnsi" w:hAnsiTheme="minorHAnsi" w:cstheme="minorHAnsi"/>
              </w:rPr>
              <w:t>Доходность за период, %</w:t>
            </w:r>
          </w:p>
        </w:tc>
      </w:tr>
      <w:tr w:rsidR="00AC3A9C" w:rsidRPr="00C50091" w14:paraId="277DA56E" w14:textId="77777777" w:rsidTr="00A020B7">
        <w:tblPrEx>
          <w:tblCellMar>
            <w:left w:w="108" w:type="dxa"/>
            <w:right w:w="108" w:type="dxa"/>
          </w:tblCellMar>
        </w:tblPrEx>
        <w:trPr>
          <w:trHeight w:val="1074"/>
        </w:trPr>
        <w:tc>
          <w:tcPr>
            <w:tcW w:w="4365" w:type="dxa"/>
            <w:vMerge w:val="restart"/>
            <w:vAlign w:val="center"/>
          </w:tcPr>
          <w:p w14:paraId="66CBF915" w14:textId="41CF6B56" w:rsidR="00AC3A9C" w:rsidRPr="003B455E" w:rsidRDefault="00A020B7" w:rsidP="008C4A98">
            <w:pPr>
              <w:pStyle w:val="ConsPlusNormal"/>
              <w:rPr>
                <w:rFonts w:asciiTheme="minorHAnsi" w:hAnsiTheme="minorHAnsi" w:cstheme="minorHAnsi"/>
              </w:rPr>
            </w:pPr>
            <w:r>
              <w:rPr>
                <w:noProof/>
              </w:rPr>
              <w:drawing>
                <wp:inline distT="0" distB="0" distL="0" distR="0" wp14:anchorId="4D55ABF7" wp14:editId="0DDAE3E3">
                  <wp:extent cx="2634615" cy="2374265"/>
                  <wp:effectExtent l="0" t="0" r="13335"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Период</w:t>
            </w:r>
          </w:p>
        </w:tc>
        <w:tc>
          <w:tcPr>
            <w:tcW w:w="1621" w:type="dxa"/>
          </w:tcPr>
          <w:p w14:paraId="665073E8"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Доходность инвестиций</w:t>
            </w:r>
          </w:p>
        </w:tc>
        <w:tc>
          <w:tcPr>
            <w:tcW w:w="1705" w:type="dxa"/>
          </w:tcPr>
          <w:p w14:paraId="453725B4" w14:textId="77777777" w:rsidR="00AC3A9C" w:rsidRPr="00630449" w:rsidRDefault="00AC3A9C" w:rsidP="00526694">
            <w:pPr>
              <w:pStyle w:val="ConsPlusNormal"/>
              <w:jc w:val="center"/>
              <w:rPr>
                <w:rFonts w:asciiTheme="minorHAnsi" w:hAnsiTheme="minorHAnsi" w:cstheme="minorHAnsi"/>
              </w:rPr>
            </w:pPr>
            <w:r w:rsidRPr="00630449">
              <w:rPr>
                <w:rFonts w:asciiTheme="minorHAnsi" w:hAnsiTheme="minorHAnsi" w:cstheme="minorHAnsi"/>
              </w:rPr>
              <w:t>Отклонение доходности от</w:t>
            </w:r>
          </w:p>
          <w:p w14:paraId="0CD83498" w14:textId="77777777" w:rsidR="00962F22" w:rsidRDefault="00AC3A9C" w:rsidP="00962F22">
            <w:pPr>
              <w:pStyle w:val="ConsPlusNormal"/>
              <w:ind w:left="283"/>
              <w:rPr>
                <w:rFonts w:asciiTheme="minorHAnsi" w:hAnsiTheme="minorHAnsi" w:cstheme="minorHAnsi"/>
              </w:rPr>
            </w:pPr>
            <w:r w:rsidRPr="00630449">
              <w:rPr>
                <w:rFonts w:asciiTheme="minorHAnsi" w:hAnsiTheme="minorHAnsi" w:cstheme="minorHAnsi"/>
              </w:rPr>
              <w:t>инфляции</w:t>
            </w:r>
            <w:r w:rsidR="00962F22">
              <w:rPr>
                <w:rFonts w:asciiTheme="minorHAnsi" w:hAnsiTheme="minorHAnsi" w:cstheme="minorHAnsi"/>
              </w:rPr>
              <w:t>*</w:t>
            </w:r>
          </w:p>
          <w:p w14:paraId="377B7C46" w14:textId="3EC99C1E" w:rsidR="00AC3A9C" w:rsidRPr="00630449" w:rsidRDefault="00962F22" w:rsidP="00962F22">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112110" w:rsidRPr="00C50091" w14:paraId="163F6D42" w14:textId="77777777" w:rsidTr="00A12D73">
        <w:tc>
          <w:tcPr>
            <w:tcW w:w="4365" w:type="dxa"/>
            <w:vMerge/>
          </w:tcPr>
          <w:p w14:paraId="439EA073" w14:textId="77777777" w:rsidR="00112110" w:rsidRPr="003B455E" w:rsidRDefault="00112110" w:rsidP="00112110">
            <w:pPr>
              <w:rPr>
                <w:rFonts w:cstheme="minorHAnsi"/>
              </w:rPr>
            </w:pPr>
          </w:p>
        </w:tc>
        <w:tc>
          <w:tcPr>
            <w:tcW w:w="1380" w:type="dxa"/>
            <w:vAlign w:val="bottom"/>
          </w:tcPr>
          <w:p w14:paraId="377E34DE"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1 месяц</w:t>
            </w:r>
          </w:p>
        </w:tc>
        <w:tc>
          <w:tcPr>
            <w:tcW w:w="1621" w:type="dxa"/>
            <w:vAlign w:val="bottom"/>
          </w:tcPr>
          <w:p w14:paraId="7FBF015C" w14:textId="20114CEC" w:rsidR="00112110" w:rsidRPr="00630449" w:rsidRDefault="00112110" w:rsidP="00112110">
            <w:pPr>
              <w:pStyle w:val="ConsPlusNormal"/>
              <w:rPr>
                <w:rFonts w:asciiTheme="minorHAnsi" w:hAnsiTheme="minorHAnsi" w:cstheme="minorHAnsi"/>
                <w:color w:val="FF0000"/>
              </w:rPr>
            </w:pPr>
            <w:r>
              <w:rPr>
                <w:color w:val="000000"/>
                <w:szCs w:val="22"/>
              </w:rPr>
              <w:t>1,07%</w:t>
            </w:r>
          </w:p>
        </w:tc>
        <w:tc>
          <w:tcPr>
            <w:tcW w:w="1705" w:type="dxa"/>
            <w:vAlign w:val="bottom"/>
          </w:tcPr>
          <w:p w14:paraId="5DA42905" w14:textId="7E259511" w:rsidR="00112110" w:rsidRPr="00630449" w:rsidRDefault="00112110" w:rsidP="00112110">
            <w:pPr>
              <w:pStyle w:val="ConsPlusNormal"/>
              <w:rPr>
                <w:rFonts w:asciiTheme="minorHAnsi" w:hAnsiTheme="minorHAnsi" w:cstheme="minorHAnsi"/>
                <w:color w:val="FF0000"/>
              </w:rPr>
            </w:pPr>
            <w:r>
              <w:rPr>
                <w:color w:val="000000"/>
                <w:szCs w:val="22"/>
              </w:rPr>
              <w:t>0,34%</w:t>
            </w:r>
          </w:p>
        </w:tc>
      </w:tr>
      <w:tr w:rsidR="00112110" w:rsidRPr="00C50091" w14:paraId="734DB2DE" w14:textId="77777777" w:rsidTr="00A12D73">
        <w:tc>
          <w:tcPr>
            <w:tcW w:w="4365" w:type="dxa"/>
            <w:vMerge/>
          </w:tcPr>
          <w:p w14:paraId="1A4F3314" w14:textId="77777777" w:rsidR="00112110" w:rsidRPr="003B455E" w:rsidRDefault="00112110" w:rsidP="00112110">
            <w:pPr>
              <w:rPr>
                <w:rFonts w:cstheme="minorHAnsi"/>
              </w:rPr>
            </w:pPr>
          </w:p>
        </w:tc>
        <w:tc>
          <w:tcPr>
            <w:tcW w:w="1380" w:type="dxa"/>
            <w:vAlign w:val="bottom"/>
          </w:tcPr>
          <w:p w14:paraId="6B673F49"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3 месяца</w:t>
            </w:r>
          </w:p>
        </w:tc>
        <w:tc>
          <w:tcPr>
            <w:tcW w:w="1621" w:type="dxa"/>
            <w:vAlign w:val="bottom"/>
          </w:tcPr>
          <w:p w14:paraId="72F3B61F" w14:textId="480EDC44" w:rsidR="00112110" w:rsidRPr="00630449" w:rsidRDefault="00112110" w:rsidP="00112110">
            <w:pPr>
              <w:pStyle w:val="ConsPlusNormal"/>
              <w:rPr>
                <w:rFonts w:asciiTheme="minorHAnsi" w:hAnsiTheme="minorHAnsi" w:cstheme="minorHAnsi"/>
                <w:color w:val="FF0000"/>
              </w:rPr>
            </w:pPr>
            <w:r>
              <w:rPr>
                <w:color w:val="000000"/>
                <w:szCs w:val="22"/>
              </w:rPr>
              <w:t>0,97%</w:t>
            </w:r>
          </w:p>
        </w:tc>
        <w:tc>
          <w:tcPr>
            <w:tcW w:w="1705" w:type="dxa"/>
            <w:vAlign w:val="bottom"/>
          </w:tcPr>
          <w:p w14:paraId="0A9EC4F7" w14:textId="320F6AF4" w:rsidR="00112110" w:rsidRPr="00630449" w:rsidRDefault="00112110" w:rsidP="00112110">
            <w:pPr>
              <w:pStyle w:val="ConsPlusNormal"/>
              <w:rPr>
                <w:rFonts w:asciiTheme="minorHAnsi" w:hAnsiTheme="minorHAnsi" w:cstheme="minorHAnsi"/>
                <w:color w:val="FF0000"/>
              </w:rPr>
            </w:pPr>
            <w:r>
              <w:rPr>
                <w:color w:val="000000"/>
                <w:szCs w:val="22"/>
              </w:rPr>
              <w:t>-1,72%</w:t>
            </w:r>
          </w:p>
        </w:tc>
      </w:tr>
      <w:tr w:rsidR="00112110" w:rsidRPr="00C50091" w14:paraId="2D189623" w14:textId="77777777" w:rsidTr="00A12D73">
        <w:tc>
          <w:tcPr>
            <w:tcW w:w="4365" w:type="dxa"/>
            <w:vMerge/>
          </w:tcPr>
          <w:p w14:paraId="06D3E770" w14:textId="77777777" w:rsidR="00112110" w:rsidRPr="003B455E" w:rsidRDefault="00112110" w:rsidP="00112110">
            <w:pPr>
              <w:rPr>
                <w:rFonts w:cstheme="minorHAnsi"/>
              </w:rPr>
            </w:pPr>
          </w:p>
        </w:tc>
        <w:tc>
          <w:tcPr>
            <w:tcW w:w="1380" w:type="dxa"/>
            <w:vAlign w:val="bottom"/>
          </w:tcPr>
          <w:p w14:paraId="0A625FAD"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6 месяцев</w:t>
            </w:r>
          </w:p>
        </w:tc>
        <w:tc>
          <w:tcPr>
            <w:tcW w:w="1621" w:type="dxa"/>
            <w:vAlign w:val="bottom"/>
          </w:tcPr>
          <w:p w14:paraId="7AFD14DC" w14:textId="1068E945" w:rsidR="00112110" w:rsidRPr="00630449" w:rsidRDefault="00112110" w:rsidP="00112110">
            <w:pPr>
              <w:pStyle w:val="ConsPlusNormal"/>
              <w:rPr>
                <w:rFonts w:asciiTheme="minorHAnsi" w:hAnsiTheme="minorHAnsi" w:cstheme="minorHAnsi"/>
                <w:color w:val="FF0000"/>
              </w:rPr>
            </w:pPr>
            <w:r>
              <w:rPr>
                <w:color w:val="000000"/>
                <w:szCs w:val="22"/>
              </w:rPr>
              <w:t>0,67%</w:t>
            </w:r>
          </w:p>
        </w:tc>
        <w:tc>
          <w:tcPr>
            <w:tcW w:w="1705" w:type="dxa"/>
            <w:vAlign w:val="bottom"/>
          </w:tcPr>
          <w:p w14:paraId="5A1631C8" w14:textId="1384DD64" w:rsidR="00112110" w:rsidRPr="00630449" w:rsidRDefault="00112110" w:rsidP="00112110">
            <w:pPr>
              <w:pStyle w:val="ConsPlusNormal"/>
              <w:rPr>
                <w:rFonts w:asciiTheme="minorHAnsi" w:hAnsiTheme="minorHAnsi" w:cstheme="minorHAnsi"/>
                <w:color w:val="FF0000"/>
              </w:rPr>
            </w:pPr>
            <w:r>
              <w:rPr>
                <w:color w:val="000000"/>
                <w:szCs w:val="22"/>
              </w:rPr>
              <w:t>-3,86%</w:t>
            </w:r>
          </w:p>
        </w:tc>
      </w:tr>
      <w:tr w:rsidR="00112110" w:rsidRPr="00C50091" w14:paraId="00022598" w14:textId="77777777" w:rsidTr="00A12D73">
        <w:tc>
          <w:tcPr>
            <w:tcW w:w="4365" w:type="dxa"/>
            <w:vMerge/>
          </w:tcPr>
          <w:p w14:paraId="23447C1B" w14:textId="77777777" w:rsidR="00112110" w:rsidRPr="003B455E" w:rsidRDefault="00112110" w:rsidP="00112110">
            <w:pPr>
              <w:rPr>
                <w:rFonts w:cstheme="minorHAnsi"/>
              </w:rPr>
            </w:pPr>
          </w:p>
        </w:tc>
        <w:tc>
          <w:tcPr>
            <w:tcW w:w="1380" w:type="dxa"/>
            <w:vAlign w:val="bottom"/>
          </w:tcPr>
          <w:p w14:paraId="1559E4EA"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1 год</w:t>
            </w:r>
          </w:p>
        </w:tc>
        <w:tc>
          <w:tcPr>
            <w:tcW w:w="1621" w:type="dxa"/>
            <w:vAlign w:val="bottom"/>
          </w:tcPr>
          <w:p w14:paraId="34AF94F7" w14:textId="0F1A8E3C" w:rsidR="00112110" w:rsidRPr="00630449" w:rsidRDefault="00112110" w:rsidP="00112110">
            <w:pPr>
              <w:pStyle w:val="ConsPlusNormal"/>
              <w:rPr>
                <w:rFonts w:asciiTheme="minorHAnsi" w:hAnsiTheme="minorHAnsi" w:cstheme="minorHAnsi"/>
                <w:color w:val="FF0000"/>
              </w:rPr>
            </w:pPr>
            <w:r>
              <w:rPr>
                <w:color w:val="000000"/>
                <w:szCs w:val="22"/>
              </w:rPr>
              <w:t>-2,15%</w:t>
            </w:r>
          </w:p>
        </w:tc>
        <w:tc>
          <w:tcPr>
            <w:tcW w:w="1705" w:type="dxa"/>
            <w:vAlign w:val="bottom"/>
          </w:tcPr>
          <w:p w14:paraId="4EF284CC" w14:textId="61801C89" w:rsidR="00112110" w:rsidRPr="00630449" w:rsidRDefault="00112110" w:rsidP="00112110">
            <w:pPr>
              <w:pStyle w:val="ConsPlusNormal"/>
              <w:rPr>
                <w:rFonts w:asciiTheme="minorHAnsi" w:hAnsiTheme="minorHAnsi" w:cstheme="minorHAnsi"/>
                <w:color w:val="FF0000"/>
              </w:rPr>
            </w:pPr>
            <w:r>
              <w:rPr>
                <w:color w:val="000000"/>
                <w:szCs w:val="22"/>
              </w:rPr>
              <w:t>-9,57%</w:t>
            </w:r>
          </w:p>
        </w:tc>
      </w:tr>
      <w:tr w:rsidR="00112110" w:rsidRPr="00C50091" w14:paraId="61586E32" w14:textId="77777777" w:rsidTr="00A12D73">
        <w:tc>
          <w:tcPr>
            <w:tcW w:w="4365" w:type="dxa"/>
            <w:vMerge/>
          </w:tcPr>
          <w:p w14:paraId="6D68E732" w14:textId="77777777" w:rsidR="00112110" w:rsidRPr="003B455E" w:rsidRDefault="00112110" w:rsidP="00112110">
            <w:pPr>
              <w:rPr>
                <w:rFonts w:cstheme="minorHAnsi"/>
              </w:rPr>
            </w:pPr>
          </w:p>
        </w:tc>
        <w:tc>
          <w:tcPr>
            <w:tcW w:w="1380" w:type="dxa"/>
            <w:vAlign w:val="bottom"/>
          </w:tcPr>
          <w:p w14:paraId="6C7A6518"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3 года</w:t>
            </w:r>
          </w:p>
        </w:tc>
        <w:tc>
          <w:tcPr>
            <w:tcW w:w="1621" w:type="dxa"/>
            <w:vAlign w:val="bottom"/>
          </w:tcPr>
          <w:p w14:paraId="2E854221" w14:textId="14CB44A3" w:rsidR="00112110" w:rsidRPr="00630449" w:rsidRDefault="00112110" w:rsidP="00112110">
            <w:pPr>
              <w:pStyle w:val="ConsPlusNormal"/>
              <w:rPr>
                <w:rFonts w:asciiTheme="minorHAnsi" w:hAnsiTheme="minorHAnsi" w:cstheme="minorHAnsi"/>
                <w:color w:val="FF0000"/>
              </w:rPr>
            </w:pPr>
            <w:r>
              <w:rPr>
                <w:color w:val="000000"/>
                <w:szCs w:val="22"/>
              </w:rPr>
              <w:t>-7,68%</w:t>
            </w:r>
          </w:p>
        </w:tc>
        <w:tc>
          <w:tcPr>
            <w:tcW w:w="1705" w:type="dxa"/>
            <w:vAlign w:val="bottom"/>
          </w:tcPr>
          <w:p w14:paraId="4946C1EE" w14:textId="739E4C4D" w:rsidR="00112110" w:rsidRPr="00630449" w:rsidRDefault="00112110" w:rsidP="00112110">
            <w:pPr>
              <w:pStyle w:val="ConsPlusNormal"/>
              <w:rPr>
                <w:rFonts w:asciiTheme="minorHAnsi" w:hAnsiTheme="minorHAnsi" w:cstheme="minorHAnsi"/>
                <w:color w:val="FF0000"/>
              </w:rPr>
            </w:pPr>
            <w:r>
              <w:rPr>
                <w:color w:val="000000"/>
                <w:szCs w:val="22"/>
              </w:rPr>
              <w:t>-37,99%</w:t>
            </w:r>
          </w:p>
        </w:tc>
      </w:tr>
      <w:tr w:rsidR="00112110" w:rsidRPr="00C50091" w14:paraId="23E49679" w14:textId="77777777" w:rsidTr="00A12D73">
        <w:tc>
          <w:tcPr>
            <w:tcW w:w="4365" w:type="dxa"/>
            <w:vMerge/>
          </w:tcPr>
          <w:p w14:paraId="18885D97" w14:textId="77777777" w:rsidR="00112110" w:rsidRPr="003B455E" w:rsidRDefault="00112110" w:rsidP="00112110">
            <w:pPr>
              <w:pStyle w:val="ConsPlusNormal"/>
              <w:rPr>
                <w:rFonts w:asciiTheme="minorHAnsi" w:hAnsiTheme="minorHAnsi" w:cstheme="minorHAnsi"/>
              </w:rPr>
            </w:pPr>
          </w:p>
        </w:tc>
        <w:tc>
          <w:tcPr>
            <w:tcW w:w="1380" w:type="dxa"/>
            <w:vAlign w:val="bottom"/>
          </w:tcPr>
          <w:p w14:paraId="427B3323" w14:textId="77777777" w:rsidR="00112110" w:rsidRPr="00630449" w:rsidRDefault="00112110" w:rsidP="00112110">
            <w:pPr>
              <w:pStyle w:val="ConsPlusNormal"/>
              <w:ind w:left="283"/>
              <w:rPr>
                <w:rFonts w:asciiTheme="minorHAnsi" w:hAnsiTheme="minorHAnsi" w:cstheme="minorHAnsi"/>
              </w:rPr>
            </w:pPr>
            <w:r w:rsidRPr="00630449">
              <w:rPr>
                <w:rFonts w:asciiTheme="minorHAnsi" w:hAnsiTheme="minorHAnsi" w:cstheme="minorHAnsi"/>
              </w:rPr>
              <w:t>5 лет</w:t>
            </w:r>
          </w:p>
        </w:tc>
        <w:tc>
          <w:tcPr>
            <w:tcW w:w="1621" w:type="dxa"/>
            <w:vAlign w:val="bottom"/>
          </w:tcPr>
          <w:p w14:paraId="0B6591EC" w14:textId="1C1651A1" w:rsidR="00112110" w:rsidRPr="00630449" w:rsidRDefault="00112110" w:rsidP="00112110">
            <w:pPr>
              <w:pStyle w:val="ConsPlusNormal"/>
              <w:rPr>
                <w:rFonts w:asciiTheme="minorHAnsi" w:hAnsiTheme="minorHAnsi" w:cstheme="minorHAnsi"/>
                <w:color w:val="FF0000"/>
              </w:rPr>
            </w:pPr>
            <w:r>
              <w:rPr>
                <w:color w:val="000000"/>
                <w:szCs w:val="22"/>
              </w:rPr>
              <w:t>-19,36%</w:t>
            </w:r>
          </w:p>
        </w:tc>
        <w:tc>
          <w:tcPr>
            <w:tcW w:w="1705" w:type="dxa"/>
            <w:vAlign w:val="bottom"/>
          </w:tcPr>
          <w:p w14:paraId="529BB3CB" w14:textId="72101062" w:rsidR="00112110" w:rsidRPr="00630449" w:rsidRDefault="00112110" w:rsidP="00112110">
            <w:pPr>
              <w:pStyle w:val="ConsPlusNormal"/>
              <w:rPr>
                <w:rFonts w:asciiTheme="minorHAnsi" w:hAnsiTheme="minorHAnsi" w:cstheme="minorHAnsi"/>
                <w:color w:val="FF0000"/>
              </w:rPr>
            </w:pPr>
            <w:r>
              <w:rPr>
                <w:color w:val="000000"/>
                <w:szCs w:val="22"/>
              </w:rPr>
              <w:t>-60,24%</w:t>
            </w:r>
          </w:p>
        </w:tc>
      </w:tr>
    </w:tbl>
    <w:p w14:paraId="136D627F" w14:textId="77777777" w:rsidR="004F6824" w:rsidRPr="00C50091" w:rsidRDefault="004F6824" w:rsidP="00986649">
      <w:pPr>
        <w:spacing w:line="276" w:lineRule="auto"/>
        <w:rPr>
          <w:rFonts w:cstheme="minorHAnsi"/>
        </w:rPr>
      </w:pPr>
    </w:p>
    <w:p w14:paraId="66686100" w14:textId="4684FF4A" w:rsidR="007A0DCF" w:rsidRPr="00C50091" w:rsidRDefault="007E4067" w:rsidP="00F54F0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54F05" w:rsidRPr="00F54F05">
        <w:rPr>
          <w:rFonts w:cstheme="minorHAnsi"/>
        </w:rPr>
        <w:t>3</w:t>
      </w:r>
      <w:r w:rsidR="00F54F05">
        <w:rPr>
          <w:rFonts w:cstheme="minorHAnsi"/>
        </w:rPr>
        <w:t xml:space="preserve"> </w:t>
      </w:r>
      <w:r w:rsidR="00F54F05" w:rsidRPr="00F54F05">
        <w:rPr>
          <w:rFonts w:cstheme="minorHAnsi"/>
        </w:rPr>
        <w:t>122,82</w:t>
      </w:r>
      <w:r w:rsidR="00155BA3" w:rsidRPr="00155BA3">
        <w:rPr>
          <w:rFonts w:cstheme="minorHAnsi"/>
        </w:rPr>
        <w:t> </w:t>
      </w:r>
      <w:r w:rsidRPr="00C50091">
        <w:rPr>
          <w:rFonts w:cstheme="minorHAnsi"/>
        </w:rPr>
        <w:t>рублей.</w:t>
      </w:r>
    </w:p>
    <w:p w14:paraId="2FE68D87" w14:textId="2838E219" w:rsidR="007A0DCF" w:rsidRPr="00C50091" w:rsidRDefault="007A0DCF" w:rsidP="00F54F0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54F05" w:rsidRPr="00F54F05">
        <w:rPr>
          <w:rFonts w:cstheme="minorHAnsi"/>
        </w:rPr>
        <w:t>1</w:t>
      </w:r>
      <w:r w:rsidR="00F54F05">
        <w:rPr>
          <w:rFonts w:cstheme="minorHAnsi"/>
        </w:rPr>
        <w:t> </w:t>
      </w:r>
      <w:r w:rsidR="00F54F05" w:rsidRPr="00F54F05">
        <w:rPr>
          <w:rFonts w:cstheme="minorHAnsi"/>
        </w:rPr>
        <w:t>133</w:t>
      </w:r>
      <w:r w:rsidR="00F54F05">
        <w:rPr>
          <w:rFonts w:cstheme="minorHAnsi"/>
        </w:rPr>
        <w:t> </w:t>
      </w:r>
      <w:r w:rsidR="00F54F05" w:rsidRPr="00F54F05">
        <w:rPr>
          <w:rFonts w:cstheme="minorHAnsi"/>
        </w:rPr>
        <w:t>152</w:t>
      </w:r>
      <w:r w:rsidR="00F54F05">
        <w:rPr>
          <w:rFonts w:cstheme="minorHAnsi"/>
        </w:rPr>
        <w:t xml:space="preserve"> </w:t>
      </w:r>
      <w:bookmarkStart w:id="0" w:name="_GoBack"/>
      <w:bookmarkEnd w:id="0"/>
      <w:r w:rsidR="00F54F05" w:rsidRPr="00F54F05">
        <w:rPr>
          <w:rFonts w:cstheme="minorHAnsi"/>
        </w:rPr>
        <w:t>878,53</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12110"/>
    <w:rsid w:val="00122B94"/>
    <w:rsid w:val="00126BDB"/>
    <w:rsid w:val="0014521B"/>
    <w:rsid w:val="00155BA3"/>
    <w:rsid w:val="001743E3"/>
    <w:rsid w:val="001858EA"/>
    <w:rsid w:val="001927A5"/>
    <w:rsid w:val="001F0100"/>
    <w:rsid w:val="001F3FB3"/>
    <w:rsid w:val="002A6763"/>
    <w:rsid w:val="002E02FF"/>
    <w:rsid w:val="002E3D92"/>
    <w:rsid w:val="003048A6"/>
    <w:rsid w:val="00373AC7"/>
    <w:rsid w:val="00374E3A"/>
    <w:rsid w:val="003912A5"/>
    <w:rsid w:val="00391882"/>
    <w:rsid w:val="003B4160"/>
    <w:rsid w:val="003B455E"/>
    <w:rsid w:val="003D56F7"/>
    <w:rsid w:val="003E5CAC"/>
    <w:rsid w:val="003F6D2F"/>
    <w:rsid w:val="00405448"/>
    <w:rsid w:val="00424630"/>
    <w:rsid w:val="00482DBF"/>
    <w:rsid w:val="004C1FAE"/>
    <w:rsid w:val="004C5035"/>
    <w:rsid w:val="004D02F5"/>
    <w:rsid w:val="004E0CAA"/>
    <w:rsid w:val="004E4BB5"/>
    <w:rsid w:val="004F6824"/>
    <w:rsid w:val="00540BC6"/>
    <w:rsid w:val="005953EA"/>
    <w:rsid w:val="005A47E3"/>
    <w:rsid w:val="005D5511"/>
    <w:rsid w:val="005E2EAC"/>
    <w:rsid w:val="005E6B1B"/>
    <w:rsid w:val="005F36CA"/>
    <w:rsid w:val="00630449"/>
    <w:rsid w:val="006342CC"/>
    <w:rsid w:val="00656118"/>
    <w:rsid w:val="006563E3"/>
    <w:rsid w:val="006666DD"/>
    <w:rsid w:val="00667F2E"/>
    <w:rsid w:val="0069623A"/>
    <w:rsid w:val="006B13F4"/>
    <w:rsid w:val="006F317C"/>
    <w:rsid w:val="00701135"/>
    <w:rsid w:val="0075589E"/>
    <w:rsid w:val="007A0DCF"/>
    <w:rsid w:val="007D2826"/>
    <w:rsid w:val="007E1692"/>
    <w:rsid w:val="007E4067"/>
    <w:rsid w:val="008142BD"/>
    <w:rsid w:val="00876ABD"/>
    <w:rsid w:val="008779D7"/>
    <w:rsid w:val="00880A68"/>
    <w:rsid w:val="00892B09"/>
    <w:rsid w:val="008C4A98"/>
    <w:rsid w:val="008F0093"/>
    <w:rsid w:val="00901A7F"/>
    <w:rsid w:val="00962F22"/>
    <w:rsid w:val="009643E4"/>
    <w:rsid w:val="00981D7B"/>
    <w:rsid w:val="00986649"/>
    <w:rsid w:val="0099110E"/>
    <w:rsid w:val="009D20F1"/>
    <w:rsid w:val="009D5F29"/>
    <w:rsid w:val="00A020B7"/>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517A5"/>
    <w:rsid w:val="00C75DF9"/>
    <w:rsid w:val="00C84B56"/>
    <w:rsid w:val="00C9211D"/>
    <w:rsid w:val="00C9288E"/>
    <w:rsid w:val="00CD0345"/>
    <w:rsid w:val="00CF479A"/>
    <w:rsid w:val="00D670C8"/>
    <w:rsid w:val="00D72626"/>
    <w:rsid w:val="00D94001"/>
    <w:rsid w:val="00DA0098"/>
    <w:rsid w:val="00DA0471"/>
    <w:rsid w:val="00DC2110"/>
    <w:rsid w:val="00DC7CF5"/>
    <w:rsid w:val="00DD5572"/>
    <w:rsid w:val="00E4575A"/>
    <w:rsid w:val="00E66B06"/>
    <w:rsid w:val="00EA257D"/>
    <w:rsid w:val="00F47D09"/>
    <w:rsid w:val="00F5438A"/>
    <w:rsid w:val="00F54F05"/>
    <w:rsid w:val="00F843D8"/>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29-414E-AC53-EBA5366259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-2.2150977314158327E-2</c:v>
                </c:pt>
                <c:pt idx="1">
                  <c:v>-6.9957321633972412E-3</c:v>
                </c:pt>
                <c:pt idx="2">
                  <c:v>-5.0110597967783561E-2</c:v>
                </c:pt>
                <c:pt idx="3">
                  <c:v>2.219056574185229E-2</c:v>
                </c:pt>
                <c:pt idx="4">
                  <c:v>-0.15523492970298639</c:v>
                </c:pt>
              </c:numCache>
            </c:numRef>
          </c:val>
          <c:extLst>
            <c:ext xmlns:c16="http://schemas.microsoft.com/office/drawing/2014/chart" uri="{C3380CC4-5D6E-409C-BE32-E72D297353CC}">
              <c16:uniqueId val="{00000001-EB29-414E-AC53-EBA53662596E}"/>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66</cp:revision>
  <cp:lastPrinted>2021-09-07T11:44:00Z</cp:lastPrinted>
  <dcterms:created xsi:type="dcterms:W3CDTF">2021-10-04T15:02:00Z</dcterms:created>
  <dcterms:modified xsi:type="dcterms:W3CDTF">2024-02-09T09:19:00Z</dcterms:modified>
</cp:coreProperties>
</file>