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6C15EF">
        <w:rPr>
          <w:rFonts w:cstheme="minorHAnsi"/>
          <w:b/>
        </w:rPr>
        <w:t xml:space="preserve">Активо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C770AA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72235">
        <w:rPr>
          <w:rFonts w:cstheme="minorHAnsi"/>
        </w:rPr>
        <w:t>29</w:t>
      </w:r>
      <w:r w:rsidR="00986649" w:rsidRPr="002A6763">
        <w:rPr>
          <w:rFonts w:cstheme="minorHAnsi"/>
        </w:rPr>
        <w:t>.</w:t>
      </w:r>
      <w:r w:rsidR="001055F2">
        <w:rPr>
          <w:rFonts w:cstheme="minorHAnsi"/>
        </w:rPr>
        <w:t>0</w:t>
      </w:r>
      <w:r w:rsidR="008B29FE">
        <w:rPr>
          <w:rFonts w:cstheme="minorHAnsi"/>
        </w:rPr>
        <w:t>3</w:t>
      </w:r>
      <w:r w:rsidR="00986649" w:rsidRPr="002A6763">
        <w:rPr>
          <w:rFonts w:cstheme="minorHAnsi"/>
        </w:rPr>
        <w:t>.202</w:t>
      </w:r>
      <w:r w:rsidR="001055F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6C15EF">
        <w:rPr>
          <w:rFonts w:cstheme="minorHAnsi"/>
          <w:b/>
        </w:rPr>
        <w:t xml:space="preserve">Активо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6FE2C1BE"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6D3283">
        <w:t>5</w:t>
      </w:r>
      <w:r w:rsidRPr="00EA44D1">
        <w:t xml:space="preserve"> объект</w:t>
      </w:r>
      <w:r w:rsidR="00BF6C3B">
        <w:t>ов</w:t>
      </w:r>
      <w:r w:rsidRPr="00EA44D1">
        <w:t>.</w:t>
      </w:r>
      <w:r w:rsidR="00AF0868" w:rsidRPr="00EA44D1">
        <w:t xml:space="preserve"> </w:t>
      </w:r>
    </w:p>
    <w:p w14:paraId="749CF609" w14:textId="1B84742B"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BF6C3B">
        <w:rPr>
          <w:rFonts w:cstheme="minorHAnsi"/>
        </w:rPr>
        <w:t>5</w:t>
      </w:r>
      <w:r w:rsidR="00C75DF9" w:rsidRPr="00EA44D1">
        <w:rPr>
          <w:rFonts w:cstheme="minorHAnsi"/>
        </w:rPr>
        <w:t xml:space="preserve"> </w:t>
      </w:r>
      <w:r w:rsidRPr="00EA44D1">
        <w:rPr>
          <w:rFonts w:cstheme="minorHAnsi"/>
        </w:rPr>
        <w:t>объект</w:t>
      </w:r>
      <w:r w:rsidR="00BF6C3B">
        <w:rPr>
          <w:rFonts w:cstheme="minorHAnsi"/>
        </w:rPr>
        <w:t>ов</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AA406B" w:rsidRPr="00EA44D1" w14:paraId="768F8770" w14:textId="77777777" w:rsidTr="00ED65F1">
        <w:tc>
          <w:tcPr>
            <w:tcW w:w="6516" w:type="dxa"/>
          </w:tcPr>
          <w:p w14:paraId="59E2314D" w14:textId="676B8DDD" w:rsidR="00AA406B" w:rsidRPr="00EA44D1" w:rsidRDefault="00AA406B" w:rsidP="00AA406B">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vAlign w:val="center"/>
          </w:tcPr>
          <w:p w14:paraId="326562E4" w14:textId="1AD494D8" w:rsidR="00AA406B" w:rsidRPr="00EA44D1" w:rsidRDefault="006D3283" w:rsidP="006D3283">
            <w:pPr>
              <w:jc w:val="center"/>
              <w:rPr>
                <w:rFonts w:cstheme="minorHAnsi"/>
              </w:rPr>
            </w:pPr>
            <w:r>
              <w:rPr>
                <w:rFonts w:ascii="Calibri" w:hAnsi="Calibri" w:cs="Calibri"/>
                <w:color w:val="000000"/>
              </w:rPr>
              <w:t>85</w:t>
            </w:r>
            <w:r w:rsidR="00AA406B">
              <w:rPr>
                <w:rFonts w:ascii="Calibri" w:hAnsi="Calibri" w:cs="Calibri"/>
                <w:color w:val="000000"/>
              </w:rPr>
              <w:t>,</w:t>
            </w:r>
            <w:r>
              <w:rPr>
                <w:rFonts w:ascii="Calibri" w:hAnsi="Calibri" w:cs="Calibri"/>
                <w:color w:val="000000"/>
              </w:rPr>
              <w:t>93</w:t>
            </w:r>
          </w:p>
        </w:tc>
      </w:tr>
      <w:tr w:rsidR="00AA406B" w:rsidRPr="00EA44D1" w14:paraId="6CA798E5" w14:textId="77777777" w:rsidTr="00ED65F1">
        <w:tc>
          <w:tcPr>
            <w:tcW w:w="6516" w:type="dxa"/>
          </w:tcPr>
          <w:p w14:paraId="0E8F7D84" w14:textId="5CA0F6E2" w:rsidR="00AA406B" w:rsidRPr="00EA44D1" w:rsidRDefault="00AA406B" w:rsidP="00AA406B">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vAlign w:val="center"/>
          </w:tcPr>
          <w:p w14:paraId="31CEFC08" w14:textId="3D0374AC" w:rsidR="00AA406B" w:rsidRPr="00EA44D1" w:rsidRDefault="006D3283" w:rsidP="006D3283">
            <w:pPr>
              <w:spacing w:line="276" w:lineRule="auto"/>
              <w:jc w:val="center"/>
              <w:rPr>
                <w:rFonts w:cstheme="minorHAnsi"/>
              </w:rPr>
            </w:pPr>
            <w:r>
              <w:rPr>
                <w:rFonts w:ascii="Calibri" w:hAnsi="Calibri" w:cs="Calibri"/>
                <w:color w:val="000000"/>
              </w:rPr>
              <w:t>8</w:t>
            </w:r>
            <w:r w:rsidR="00AA406B">
              <w:rPr>
                <w:rFonts w:ascii="Calibri" w:hAnsi="Calibri" w:cs="Calibri"/>
                <w:color w:val="000000"/>
              </w:rPr>
              <w:t>,</w:t>
            </w:r>
            <w:r>
              <w:rPr>
                <w:rFonts w:ascii="Calibri" w:hAnsi="Calibri" w:cs="Calibri"/>
                <w:color w:val="000000"/>
              </w:rPr>
              <w:t>16</w:t>
            </w:r>
          </w:p>
        </w:tc>
      </w:tr>
      <w:tr w:rsidR="00AA406B" w:rsidRPr="00EA44D1" w14:paraId="6B435D4C" w14:textId="77777777" w:rsidTr="00ED65F1">
        <w:tc>
          <w:tcPr>
            <w:tcW w:w="6516" w:type="dxa"/>
          </w:tcPr>
          <w:p w14:paraId="30416A51" w14:textId="77777777" w:rsidR="00AA406B" w:rsidRPr="00EA44D1" w:rsidRDefault="00AA406B" w:rsidP="00AA406B">
            <w:pPr>
              <w:rPr>
                <w:rFonts w:cstheme="minorHAnsi"/>
              </w:rPr>
            </w:pPr>
            <w:r w:rsidRPr="00EA44D1">
              <w:rPr>
                <w:rFonts w:cstheme="minorHAnsi"/>
              </w:rPr>
              <w:t>Депозит АО «АЛЬФА-БАНК»</w:t>
            </w:r>
          </w:p>
        </w:tc>
        <w:tc>
          <w:tcPr>
            <w:tcW w:w="2829" w:type="dxa"/>
            <w:vAlign w:val="center"/>
          </w:tcPr>
          <w:p w14:paraId="58987167" w14:textId="4DB52C51" w:rsidR="00AA406B" w:rsidRPr="00EA44D1" w:rsidRDefault="006D3283" w:rsidP="006D3283">
            <w:pPr>
              <w:spacing w:line="276" w:lineRule="auto"/>
              <w:jc w:val="center"/>
              <w:rPr>
                <w:rFonts w:cstheme="minorHAnsi"/>
                <w:lang w:val="en-US"/>
              </w:rPr>
            </w:pPr>
            <w:r>
              <w:rPr>
                <w:rFonts w:ascii="Calibri" w:hAnsi="Calibri" w:cs="Calibri"/>
                <w:color w:val="000000"/>
              </w:rPr>
              <w:t>2</w:t>
            </w:r>
            <w:r w:rsidR="00AA406B">
              <w:rPr>
                <w:rFonts w:ascii="Calibri" w:hAnsi="Calibri" w:cs="Calibri"/>
                <w:color w:val="000000"/>
              </w:rPr>
              <w:t>,</w:t>
            </w:r>
            <w:r>
              <w:rPr>
                <w:rFonts w:ascii="Calibri" w:hAnsi="Calibri" w:cs="Calibri"/>
                <w:color w:val="000000"/>
              </w:rPr>
              <w:t>61</w:t>
            </w:r>
          </w:p>
        </w:tc>
      </w:tr>
      <w:tr w:rsidR="00AA406B" w:rsidRPr="00EA44D1" w14:paraId="1EA3B095" w14:textId="77777777" w:rsidTr="00ED65F1">
        <w:tc>
          <w:tcPr>
            <w:tcW w:w="6516" w:type="dxa"/>
          </w:tcPr>
          <w:p w14:paraId="448A0D52" w14:textId="360CB071" w:rsidR="00AA406B" w:rsidRPr="00EA44D1" w:rsidRDefault="00AB68CF" w:rsidP="00AA406B">
            <w:pPr>
              <w:rPr>
                <w:rFonts w:cstheme="minorHAnsi"/>
              </w:rPr>
            </w:pPr>
            <w:r>
              <w:rPr>
                <w:rFonts w:cstheme="minorHAnsi"/>
              </w:rPr>
              <w:lastRenderedPageBreak/>
              <w:t>Денежные средства на расчетных счетах</w:t>
            </w:r>
          </w:p>
        </w:tc>
        <w:tc>
          <w:tcPr>
            <w:tcW w:w="2829" w:type="dxa"/>
            <w:vAlign w:val="center"/>
          </w:tcPr>
          <w:p w14:paraId="7F2DE47E" w14:textId="061EA49E" w:rsidR="00AA406B" w:rsidRDefault="006D3283" w:rsidP="006D3283">
            <w:pPr>
              <w:spacing w:line="276" w:lineRule="auto"/>
              <w:jc w:val="center"/>
              <w:rPr>
                <w:rFonts w:cstheme="minorHAnsi"/>
              </w:rPr>
            </w:pPr>
            <w:r>
              <w:rPr>
                <w:rFonts w:ascii="Calibri" w:hAnsi="Calibri" w:cs="Calibri"/>
                <w:color w:val="000000"/>
              </w:rPr>
              <w:t>2</w:t>
            </w:r>
            <w:r w:rsidR="00AA406B">
              <w:rPr>
                <w:rFonts w:ascii="Calibri" w:hAnsi="Calibri" w:cs="Calibri"/>
                <w:color w:val="000000"/>
              </w:rPr>
              <w:t>,</w:t>
            </w:r>
            <w:r>
              <w:rPr>
                <w:rFonts w:ascii="Calibri" w:hAnsi="Calibri" w:cs="Calibri"/>
                <w:color w:val="000000"/>
              </w:rPr>
              <w:t>54</w:t>
            </w:r>
          </w:p>
        </w:tc>
      </w:tr>
      <w:tr w:rsidR="00AA406B" w:rsidRPr="00EA44D1" w14:paraId="2ED6CC28" w14:textId="77777777" w:rsidTr="00ED65F1">
        <w:tc>
          <w:tcPr>
            <w:tcW w:w="6516" w:type="dxa"/>
          </w:tcPr>
          <w:p w14:paraId="73533C46" w14:textId="754D5476" w:rsidR="00AA406B" w:rsidRPr="00EA44D1" w:rsidRDefault="00AA406B" w:rsidP="00AA406B">
            <w:pPr>
              <w:rPr>
                <w:rFonts w:cstheme="minorHAnsi"/>
              </w:rPr>
            </w:pPr>
            <w:r>
              <w:rPr>
                <w:rFonts w:cstheme="minorHAnsi"/>
              </w:rPr>
              <w:t>Дебиторская задолженность</w:t>
            </w:r>
          </w:p>
        </w:tc>
        <w:tc>
          <w:tcPr>
            <w:tcW w:w="2829" w:type="dxa"/>
            <w:vAlign w:val="center"/>
          </w:tcPr>
          <w:p w14:paraId="5B3C2EA8" w14:textId="2C31104A" w:rsidR="00AA406B" w:rsidRDefault="006D3283" w:rsidP="006D3283">
            <w:pPr>
              <w:spacing w:line="276" w:lineRule="auto"/>
              <w:jc w:val="center"/>
              <w:rPr>
                <w:rFonts w:cstheme="minorHAnsi"/>
              </w:rPr>
            </w:pPr>
            <w:r>
              <w:rPr>
                <w:rFonts w:ascii="Calibri" w:hAnsi="Calibri" w:cs="Calibri"/>
                <w:color w:val="000000"/>
              </w:rPr>
              <w:t>0</w:t>
            </w:r>
            <w:r w:rsidR="00AA406B">
              <w:rPr>
                <w:rFonts w:ascii="Calibri" w:hAnsi="Calibri" w:cs="Calibri"/>
                <w:color w:val="000000"/>
              </w:rPr>
              <w:t>,</w:t>
            </w:r>
            <w:r>
              <w:rPr>
                <w:rFonts w:ascii="Calibri" w:hAnsi="Calibri" w:cs="Calibri"/>
                <w:color w:val="000000"/>
              </w:rPr>
              <w:t>76</w:t>
            </w:r>
          </w:p>
        </w:tc>
      </w:tr>
    </w:tbl>
    <w:p w14:paraId="51D59E6D" w14:textId="77777777" w:rsidR="00685482" w:rsidRDefault="00685482" w:rsidP="00C75DF9">
      <w:pPr>
        <w:spacing w:after="0" w:line="240" w:lineRule="auto"/>
        <w:rPr>
          <w:rFonts w:cstheme="minorHAnsi"/>
          <w:b/>
        </w:rPr>
      </w:pPr>
    </w:p>
    <w:p w14:paraId="441DA89E" w14:textId="459DCD31"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795EDE" w:rsidRDefault="004F6824" w:rsidP="00526694">
            <w:pPr>
              <w:pStyle w:val="ConsPlusNormal"/>
              <w:ind w:left="283"/>
              <w:jc w:val="both"/>
              <w:rPr>
                <w:rFonts w:asciiTheme="minorHAnsi" w:hAnsiTheme="minorHAnsi" w:cstheme="minorHAnsi"/>
              </w:rPr>
            </w:pPr>
            <w:r w:rsidRPr="00795EDE">
              <w:rPr>
                <w:rFonts w:asciiTheme="minorHAnsi" w:hAnsiTheme="minorHAnsi" w:cstheme="minorHAnsi"/>
              </w:rPr>
              <w:t>Доходность за период, %</w:t>
            </w:r>
          </w:p>
        </w:tc>
      </w:tr>
      <w:tr w:rsidR="004F247F" w:rsidRPr="00C50091" w14:paraId="277DA56E" w14:textId="77777777" w:rsidTr="00FE1920">
        <w:tblPrEx>
          <w:tblCellMar>
            <w:left w:w="108" w:type="dxa"/>
            <w:right w:w="108" w:type="dxa"/>
          </w:tblCellMar>
        </w:tblPrEx>
        <w:trPr>
          <w:trHeight w:val="1074"/>
        </w:trPr>
        <w:tc>
          <w:tcPr>
            <w:tcW w:w="4365" w:type="dxa"/>
            <w:vMerge w:val="restart"/>
            <w:vAlign w:val="center"/>
          </w:tcPr>
          <w:p w14:paraId="66CBF915" w14:textId="35534A03" w:rsidR="004F247F" w:rsidRPr="003B455E" w:rsidRDefault="00FE1920" w:rsidP="00526694">
            <w:pPr>
              <w:pStyle w:val="ConsPlusNormal"/>
              <w:jc w:val="center"/>
              <w:rPr>
                <w:rFonts w:asciiTheme="minorHAnsi" w:hAnsiTheme="minorHAnsi" w:cstheme="minorHAnsi"/>
              </w:rPr>
            </w:pPr>
            <w:r>
              <w:rPr>
                <w:noProof/>
              </w:rPr>
              <w:drawing>
                <wp:inline distT="0" distB="0" distL="0" distR="0" wp14:anchorId="574B160D" wp14:editId="228C5998">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Период</w:t>
            </w:r>
          </w:p>
        </w:tc>
        <w:tc>
          <w:tcPr>
            <w:tcW w:w="1621" w:type="dxa"/>
          </w:tcPr>
          <w:p w14:paraId="665073E8" w14:textId="77777777" w:rsidR="004F247F" w:rsidRPr="00795EDE" w:rsidRDefault="004F247F" w:rsidP="00526694">
            <w:pPr>
              <w:pStyle w:val="ConsPlusNormal"/>
              <w:jc w:val="center"/>
              <w:rPr>
                <w:rFonts w:asciiTheme="minorHAnsi" w:hAnsiTheme="minorHAnsi" w:cstheme="minorHAnsi"/>
              </w:rPr>
            </w:pPr>
            <w:r w:rsidRPr="00795EDE">
              <w:rPr>
                <w:rFonts w:asciiTheme="minorHAnsi" w:hAnsiTheme="minorHAnsi" w:cstheme="minorHAnsi"/>
              </w:rPr>
              <w:t>Доходность инвестиций</w:t>
            </w:r>
          </w:p>
        </w:tc>
        <w:tc>
          <w:tcPr>
            <w:tcW w:w="1705" w:type="dxa"/>
          </w:tcPr>
          <w:p w14:paraId="0E33BAE1" w14:textId="77777777" w:rsidR="004F247F" w:rsidRPr="00795EDE" w:rsidRDefault="004F247F" w:rsidP="00526694">
            <w:pPr>
              <w:pStyle w:val="ConsPlusNormal"/>
              <w:rPr>
                <w:rFonts w:asciiTheme="minorHAnsi" w:hAnsiTheme="minorHAnsi" w:cstheme="minorHAnsi"/>
              </w:rPr>
            </w:pPr>
            <w:r w:rsidRPr="00795EDE">
              <w:rPr>
                <w:rFonts w:asciiTheme="minorHAnsi" w:hAnsiTheme="minorHAnsi" w:cstheme="minorHAnsi"/>
              </w:rPr>
              <w:t>Отклонение доходности от</w:t>
            </w:r>
          </w:p>
          <w:p w14:paraId="6057B708" w14:textId="77777777" w:rsidR="00A622B5" w:rsidRDefault="004F247F" w:rsidP="00A622B5">
            <w:pPr>
              <w:pStyle w:val="ConsPlusNormal"/>
              <w:ind w:left="283"/>
              <w:rPr>
                <w:rFonts w:asciiTheme="minorHAnsi" w:hAnsiTheme="minorHAnsi" w:cstheme="minorHAnsi"/>
              </w:rPr>
            </w:pPr>
            <w:r w:rsidRPr="00795EDE">
              <w:rPr>
                <w:rFonts w:asciiTheme="minorHAnsi" w:hAnsiTheme="minorHAnsi" w:cstheme="minorHAnsi"/>
              </w:rPr>
              <w:t>инфляции</w:t>
            </w:r>
            <w:r w:rsidR="00A622B5">
              <w:rPr>
                <w:rFonts w:asciiTheme="minorHAnsi" w:hAnsiTheme="minorHAnsi" w:cstheme="minorHAnsi"/>
              </w:rPr>
              <w:t>*</w:t>
            </w:r>
          </w:p>
          <w:p w14:paraId="175B5FFA" w14:textId="7BDB15AA" w:rsidR="004F247F" w:rsidRPr="00795EDE" w:rsidRDefault="00A622B5" w:rsidP="00A622B5">
            <w:pPr>
              <w:pStyle w:val="ConsPlusNormal"/>
              <w:ind w:left="283"/>
              <w:rPr>
                <w:rFonts w:asciiTheme="minorHAnsi" w:hAnsiTheme="minorHAnsi" w:cstheme="minorHAnsi"/>
              </w:rPr>
            </w:pPr>
            <w:r>
              <w:rPr>
                <w:rFonts w:cstheme="minorHAnsi"/>
                <w:sz w:val="12"/>
                <w:szCs w:val="12"/>
              </w:rPr>
              <w:t xml:space="preserve">*(использованы данные </w:t>
            </w:r>
            <w:r w:rsidR="00672235">
              <w:rPr>
                <w:rFonts w:cstheme="minorHAnsi"/>
                <w:sz w:val="12"/>
                <w:szCs w:val="12"/>
              </w:rPr>
              <w:t xml:space="preserve">за </w:t>
            </w:r>
            <w:r w:rsidR="00226058">
              <w:rPr>
                <w:rFonts w:cstheme="minorHAnsi"/>
                <w:sz w:val="12"/>
                <w:szCs w:val="12"/>
              </w:rPr>
              <w:t xml:space="preserve">февраль </w:t>
            </w:r>
            <w:r w:rsidR="00672235">
              <w:rPr>
                <w:rFonts w:cstheme="minorHAnsi"/>
                <w:sz w:val="12"/>
                <w:szCs w:val="12"/>
              </w:rPr>
              <w:t>2024</w:t>
            </w:r>
            <w:r>
              <w:rPr>
                <w:rFonts w:cstheme="minorHAnsi"/>
                <w:sz w:val="12"/>
                <w:szCs w:val="12"/>
              </w:rPr>
              <w:t>)</w:t>
            </w:r>
          </w:p>
        </w:tc>
      </w:tr>
      <w:tr w:rsidR="003D275E" w:rsidRPr="00C50091" w14:paraId="163F6D42" w14:textId="77777777" w:rsidTr="002243D9">
        <w:tc>
          <w:tcPr>
            <w:tcW w:w="4365" w:type="dxa"/>
            <w:vMerge/>
          </w:tcPr>
          <w:p w14:paraId="439EA073" w14:textId="77777777" w:rsidR="003D275E" w:rsidRPr="003B455E" w:rsidRDefault="003D275E" w:rsidP="003D275E">
            <w:pPr>
              <w:rPr>
                <w:rFonts w:cstheme="minorHAnsi"/>
              </w:rPr>
            </w:pPr>
            <w:bookmarkStart w:id="0" w:name="_GoBack" w:colFirst="3" w:colLast="3"/>
          </w:p>
        </w:tc>
        <w:tc>
          <w:tcPr>
            <w:tcW w:w="1380" w:type="dxa"/>
            <w:vAlign w:val="bottom"/>
          </w:tcPr>
          <w:p w14:paraId="377E34DE"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1 месяц</w:t>
            </w:r>
          </w:p>
        </w:tc>
        <w:tc>
          <w:tcPr>
            <w:tcW w:w="1621" w:type="dxa"/>
            <w:vAlign w:val="bottom"/>
          </w:tcPr>
          <w:p w14:paraId="7FBF015C" w14:textId="6A3FC612" w:rsidR="003D275E" w:rsidRPr="00795EDE" w:rsidRDefault="003D275E" w:rsidP="003D275E">
            <w:pPr>
              <w:pStyle w:val="ConsPlusNormal"/>
              <w:rPr>
                <w:rFonts w:asciiTheme="minorHAnsi" w:hAnsiTheme="minorHAnsi" w:cstheme="minorHAnsi"/>
                <w:color w:val="FF0000"/>
              </w:rPr>
            </w:pPr>
            <w:r>
              <w:rPr>
                <w:color w:val="000000"/>
                <w:szCs w:val="22"/>
              </w:rPr>
              <w:t>26,70%</w:t>
            </w:r>
          </w:p>
        </w:tc>
        <w:tc>
          <w:tcPr>
            <w:tcW w:w="1705" w:type="dxa"/>
            <w:vAlign w:val="bottom"/>
          </w:tcPr>
          <w:p w14:paraId="5DA42905" w14:textId="31998D6C" w:rsidR="003D275E" w:rsidRPr="00795EDE" w:rsidRDefault="003D275E" w:rsidP="003D275E">
            <w:pPr>
              <w:pStyle w:val="ConsPlusNormal"/>
              <w:rPr>
                <w:rFonts w:asciiTheme="minorHAnsi" w:hAnsiTheme="minorHAnsi" w:cstheme="minorHAnsi"/>
                <w:color w:val="FF0000"/>
              </w:rPr>
            </w:pPr>
            <w:r>
              <w:rPr>
                <w:color w:val="000000"/>
                <w:szCs w:val="22"/>
              </w:rPr>
              <w:t>26,02%</w:t>
            </w:r>
          </w:p>
        </w:tc>
      </w:tr>
      <w:tr w:rsidR="003D275E" w:rsidRPr="00C50091" w14:paraId="734DB2DE" w14:textId="77777777" w:rsidTr="002243D9">
        <w:tc>
          <w:tcPr>
            <w:tcW w:w="4365" w:type="dxa"/>
            <w:vMerge/>
          </w:tcPr>
          <w:p w14:paraId="1A4F3314" w14:textId="77777777" w:rsidR="003D275E" w:rsidRPr="003B455E" w:rsidRDefault="003D275E" w:rsidP="003D275E">
            <w:pPr>
              <w:rPr>
                <w:rFonts w:cstheme="minorHAnsi"/>
              </w:rPr>
            </w:pPr>
          </w:p>
        </w:tc>
        <w:tc>
          <w:tcPr>
            <w:tcW w:w="1380" w:type="dxa"/>
            <w:vAlign w:val="bottom"/>
          </w:tcPr>
          <w:p w14:paraId="6B673F49"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3 месяца</w:t>
            </w:r>
          </w:p>
        </w:tc>
        <w:tc>
          <w:tcPr>
            <w:tcW w:w="1621" w:type="dxa"/>
            <w:vAlign w:val="bottom"/>
          </w:tcPr>
          <w:p w14:paraId="72F3B61F" w14:textId="7B987816" w:rsidR="003D275E" w:rsidRPr="00795EDE" w:rsidRDefault="003D275E" w:rsidP="003D275E">
            <w:pPr>
              <w:pStyle w:val="ConsPlusNormal"/>
              <w:rPr>
                <w:rFonts w:asciiTheme="minorHAnsi" w:hAnsiTheme="minorHAnsi" w:cstheme="minorHAnsi"/>
                <w:color w:val="FF0000"/>
              </w:rPr>
            </w:pPr>
            <w:r>
              <w:rPr>
                <w:color w:val="000000"/>
                <w:szCs w:val="22"/>
              </w:rPr>
              <w:t>31,27%</w:t>
            </w:r>
          </w:p>
        </w:tc>
        <w:tc>
          <w:tcPr>
            <w:tcW w:w="1705" w:type="dxa"/>
            <w:vAlign w:val="bottom"/>
          </w:tcPr>
          <w:p w14:paraId="0A9EC4F7" w14:textId="418FD322" w:rsidR="003D275E" w:rsidRPr="00795EDE" w:rsidRDefault="003D275E" w:rsidP="003D275E">
            <w:pPr>
              <w:pStyle w:val="ConsPlusNormal"/>
              <w:rPr>
                <w:rFonts w:asciiTheme="minorHAnsi" w:hAnsiTheme="minorHAnsi" w:cstheme="minorHAnsi"/>
                <w:color w:val="FF0000"/>
              </w:rPr>
            </w:pPr>
            <w:r>
              <w:rPr>
                <w:color w:val="000000"/>
                <w:szCs w:val="22"/>
              </w:rPr>
              <w:t>28,98%</w:t>
            </w:r>
          </w:p>
        </w:tc>
      </w:tr>
      <w:tr w:rsidR="003D275E" w:rsidRPr="00C50091" w14:paraId="2D189623" w14:textId="77777777" w:rsidTr="002243D9">
        <w:tc>
          <w:tcPr>
            <w:tcW w:w="4365" w:type="dxa"/>
            <w:vMerge/>
          </w:tcPr>
          <w:p w14:paraId="06D3E770" w14:textId="77777777" w:rsidR="003D275E" w:rsidRPr="003B455E" w:rsidRDefault="003D275E" w:rsidP="003D275E">
            <w:pPr>
              <w:rPr>
                <w:rFonts w:cstheme="minorHAnsi"/>
              </w:rPr>
            </w:pPr>
          </w:p>
        </w:tc>
        <w:tc>
          <w:tcPr>
            <w:tcW w:w="1380" w:type="dxa"/>
            <w:vAlign w:val="bottom"/>
          </w:tcPr>
          <w:p w14:paraId="0A625FAD"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6 месяцев</w:t>
            </w:r>
          </w:p>
        </w:tc>
        <w:tc>
          <w:tcPr>
            <w:tcW w:w="1621" w:type="dxa"/>
            <w:vAlign w:val="bottom"/>
          </w:tcPr>
          <w:p w14:paraId="7AFD14DC" w14:textId="7CD2D849" w:rsidR="003D275E" w:rsidRPr="00CC4BC5" w:rsidRDefault="003D275E" w:rsidP="003D275E">
            <w:pPr>
              <w:pStyle w:val="ConsPlusNormal"/>
              <w:rPr>
                <w:color w:val="000000"/>
                <w:szCs w:val="22"/>
              </w:rPr>
            </w:pPr>
            <w:r>
              <w:rPr>
                <w:color w:val="000000"/>
                <w:szCs w:val="22"/>
              </w:rPr>
              <w:t>35,49%</w:t>
            </w:r>
          </w:p>
        </w:tc>
        <w:tc>
          <w:tcPr>
            <w:tcW w:w="1705" w:type="dxa"/>
            <w:vAlign w:val="bottom"/>
          </w:tcPr>
          <w:p w14:paraId="5A1631C8" w14:textId="2E4A54B8" w:rsidR="003D275E" w:rsidRPr="00CC4BC5" w:rsidRDefault="003D275E" w:rsidP="003D275E">
            <w:pPr>
              <w:pStyle w:val="ConsPlusNormal"/>
              <w:rPr>
                <w:color w:val="000000"/>
                <w:szCs w:val="22"/>
              </w:rPr>
            </w:pPr>
            <w:r>
              <w:rPr>
                <w:color w:val="000000"/>
                <w:szCs w:val="22"/>
              </w:rPr>
              <w:t>30,30%</w:t>
            </w:r>
          </w:p>
        </w:tc>
      </w:tr>
      <w:tr w:rsidR="003D275E" w:rsidRPr="00C50091" w14:paraId="00022598" w14:textId="77777777" w:rsidTr="002243D9">
        <w:tc>
          <w:tcPr>
            <w:tcW w:w="4365" w:type="dxa"/>
            <w:vMerge/>
          </w:tcPr>
          <w:p w14:paraId="23447C1B" w14:textId="77777777" w:rsidR="003D275E" w:rsidRPr="003B455E" w:rsidRDefault="003D275E" w:rsidP="003D275E">
            <w:pPr>
              <w:rPr>
                <w:rFonts w:cstheme="minorHAnsi"/>
              </w:rPr>
            </w:pPr>
          </w:p>
        </w:tc>
        <w:tc>
          <w:tcPr>
            <w:tcW w:w="1380" w:type="dxa"/>
            <w:vAlign w:val="bottom"/>
          </w:tcPr>
          <w:p w14:paraId="1559E4EA"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1 год</w:t>
            </w:r>
          </w:p>
        </w:tc>
        <w:tc>
          <w:tcPr>
            <w:tcW w:w="1621" w:type="dxa"/>
            <w:vAlign w:val="bottom"/>
          </w:tcPr>
          <w:p w14:paraId="34AF94F7" w14:textId="54BD64AC" w:rsidR="003D275E" w:rsidRPr="00795EDE" w:rsidRDefault="003D275E" w:rsidP="003D275E">
            <w:pPr>
              <w:pStyle w:val="ConsPlusNormal"/>
              <w:rPr>
                <w:rFonts w:asciiTheme="minorHAnsi" w:hAnsiTheme="minorHAnsi" w:cstheme="minorHAnsi"/>
                <w:color w:val="FF0000"/>
              </w:rPr>
            </w:pPr>
            <w:r>
              <w:rPr>
                <w:color w:val="000000"/>
                <w:szCs w:val="22"/>
              </w:rPr>
              <w:t>46,01%</w:t>
            </w:r>
          </w:p>
        </w:tc>
        <w:tc>
          <w:tcPr>
            <w:tcW w:w="1705" w:type="dxa"/>
            <w:vAlign w:val="bottom"/>
          </w:tcPr>
          <w:p w14:paraId="4EF284CC" w14:textId="5A2A9EAE" w:rsidR="003D275E" w:rsidRPr="00795EDE" w:rsidRDefault="003D275E" w:rsidP="003D275E">
            <w:pPr>
              <w:pStyle w:val="ConsPlusNormal"/>
              <w:rPr>
                <w:rFonts w:asciiTheme="minorHAnsi" w:hAnsiTheme="minorHAnsi" w:cstheme="minorHAnsi"/>
                <w:color w:val="FF0000"/>
              </w:rPr>
            </w:pPr>
            <w:r>
              <w:rPr>
                <w:color w:val="000000"/>
                <w:szCs w:val="22"/>
              </w:rPr>
              <w:t>38,34%</w:t>
            </w:r>
          </w:p>
        </w:tc>
      </w:tr>
      <w:tr w:rsidR="003D275E" w:rsidRPr="00C50091" w14:paraId="61586E32" w14:textId="77777777" w:rsidTr="002243D9">
        <w:tc>
          <w:tcPr>
            <w:tcW w:w="4365" w:type="dxa"/>
            <w:vMerge/>
          </w:tcPr>
          <w:p w14:paraId="6D68E732" w14:textId="77777777" w:rsidR="003D275E" w:rsidRPr="003B455E" w:rsidRDefault="003D275E" w:rsidP="003D275E">
            <w:pPr>
              <w:rPr>
                <w:rFonts w:cstheme="minorHAnsi"/>
              </w:rPr>
            </w:pPr>
          </w:p>
        </w:tc>
        <w:tc>
          <w:tcPr>
            <w:tcW w:w="1380" w:type="dxa"/>
            <w:vAlign w:val="bottom"/>
          </w:tcPr>
          <w:p w14:paraId="6C7A6518"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3 года</w:t>
            </w:r>
          </w:p>
        </w:tc>
        <w:tc>
          <w:tcPr>
            <w:tcW w:w="1621" w:type="dxa"/>
            <w:vAlign w:val="bottom"/>
          </w:tcPr>
          <w:p w14:paraId="2E854221" w14:textId="2DDE6981" w:rsidR="003D275E" w:rsidRPr="00795EDE" w:rsidRDefault="003D275E" w:rsidP="003D275E">
            <w:pPr>
              <w:pStyle w:val="ConsPlusNormal"/>
              <w:rPr>
                <w:rFonts w:asciiTheme="minorHAnsi" w:hAnsiTheme="minorHAnsi" w:cstheme="minorHAnsi"/>
                <w:color w:val="FF0000"/>
              </w:rPr>
            </w:pPr>
            <w:r>
              <w:rPr>
                <w:color w:val="000000"/>
                <w:szCs w:val="22"/>
              </w:rPr>
              <w:t>97,97%</w:t>
            </w:r>
          </w:p>
        </w:tc>
        <w:tc>
          <w:tcPr>
            <w:tcW w:w="1705" w:type="dxa"/>
            <w:vAlign w:val="bottom"/>
          </w:tcPr>
          <w:p w14:paraId="4946C1EE" w14:textId="65E9CF75" w:rsidR="003D275E" w:rsidRPr="00795EDE" w:rsidRDefault="003D275E" w:rsidP="003D275E">
            <w:pPr>
              <w:pStyle w:val="ConsPlusNormal"/>
              <w:rPr>
                <w:rFonts w:asciiTheme="minorHAnsi" w:hAnsiTheme="minorHAnsi" w:cstheme="minorHAnsi"/>
                <w:color w:val="FF0000"/>
              </w:rPr>
            </w:pPr>
            <w:r>
              <w:rPr>
                <w:color w:val="000000"/>
                <w:szCs w:val="22"/>
              </w:rPr>
              <w:t>67,54%</w:t>
            </w:r>
          </w:p>
        </w:tc>
      </w:tr>
      <w:tr w:rsidR="003D275E" w:rsidRPr="00C50091" w14:paraId="23E49679" w14:textId="77777777" w:rsidTr="00591980">
        <w:tc>
          <w:tcPr>
            <w:tcW w:w="4365" w:type="dxa"/>
          </w:tcPr>
          <w:p w14:paraId="18885D97" w14:textId="77777777" w:rsidR="003D275E" w:rsidRPr="003B455E" w:rsidRDefault="003D275E" w:rsidP="003D275E">
            <w:pPr>
              <w:pStyle w:val="ConsPlusNormal"/>
              <w:rPr>
                <w:rFonts w:asciiTheme="minorHAnsi" w:hAnsiTheme="minorHAnsi" w:cstheme="minorHAnsi"/>
              </w:rPr>
            </w:pPr>
          </w:p>
        </w:tc>
        <w:tc>
          <w:tcPr>
            <w:tcW w:w="1380" w:type="dxa"/>
            <w:vAlign w:val="bottom"/>
          </w:tcPr>
          <w:p w14:paraId="427B3323" w14:textId="77777777" w:rsidR="003D275E" w:rsidRPr="00795EDE" w:rsidRDefault="003D275E" w:rsidP="003D275E">
            <w:pPr>
              <w:pStyle w:val="ConsPlusNormal"/>
              <w:ind w:left="283"/>
              <w:rPr>
                <w:rFonts w:asciiTheme="minorHAnsi" w:hAnsiTheme="minorHAnsi" w:cstheme="minorHAnsi"/>
              </w:rPr>
            </w:pPr>
            <w:r w:rsidRPr="00795EDE">
              <w:rPr>
                <w:rFonts w:asciiTheme="minorHAnsi" w:hAnsiTheme="minorHAnsi" w:cstheme="minorHAnsi"/>
              </w:rPr>
              <w:t>5 лет</w:t>
            </w:r>
          </w:p>
        </w:tc>
        <w:tc>
          <w:tcPr>
            <w:tcW w:w="1621" w:type="dxa"/>
            <w:vAlign w:val="bottom"/>
          </w:tcPr>
          <w:p w14:paraId="0B6591EC" w14:textId="47BB8121" w:rsidR="003D275E" w:rsidRPr="00795EDE" w:rsidRDefault="003D275E" w:rsidP="003D275E">
            <w:pPr>
              <w:pStyle w:val="ConsPlusNormal"/>
              <w:rPr>
                <w:rFonts w:asciiTheme="minorHAnsi" w:hAnsiTheme="minorHAnsi" w:cstheme="minorHAnsi"/>
              </w:rPr>
            </w:pPr>
            <w:r>
              <w:rPr>
                <w:color w:val="000000"/>
                <w:szCs w:val="22"/>
              </w:rPr>
              <w:t>134,92%</w:t>
            </w:r>
          </w:p>
        </w:tc>
        <w:tc>
          <w:tcPr>
            <w:tcW w:w="1705" w:type="dxa"/>
            <w:vAlign w:val="bottom"/>
          </w:tcPr>
          <w:p w14:paraId="529BB3CB" w14:textId="0F99AEA8" w:rsidR="003D275E" w:rsidRPr="00795EDE" w:rsidRDefault="003D275E" w:rsidP="003D275E">
            <w:pPr>
              <w:pStyle w:val="ConsPlusNormal"/>
              <w:rPr>
                <w:rFonts w:asciiTheme="minorHAnsi" w:hAnsiTheme="minorHAnsi" w:cstheme="minorHAnsi"/>
              </w:rPr>
            </w:pPr>
            <w:r>
              <w:rPr>
                <w:color w:val="000000"/>
                <w:szCs w:val="22"/>
              </w:rPr>
              <w:t>93,91%</w:t>
            </w:r>
          </w:p>
        </w:tc>
      </w:tr>
      <w:bookmarkEnd w:id="0"/>
    </w:tbl>
    <w:p w14:paraId="136D627F" w14:textId="77777777" w:rsidR="004F6824" w:rsidRPr="00C50091" w:rsidRDefault="004F6824" w:rsidP="00986649">
      <w:pPr>
        <w:spacing w:line="276" w:lineRule="auto"/>
        <w:rPr>
          <w:rFonts w:cstheme="minorHAnsi"/>
        </w:rPr>
      </w:pPr>
    </w:p>
    <w:p w14:paraId="66686100" w14:textId="0A88D017" w:rsidR="007A0DCF" w:rsidRPr="00C50091" w:rsidRDefault="007E4067" w:rsidP="006D328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D3283" w:rsidRPr="006D3283">
        <w:t>380 673,19</w:t>
      </w:r>
      <w:r w:rsidR="006D3283">
        <w:t xml:space="preserve"> </w:t>
      </w:r>
      <w:r w:rsidRPr="00C50091">
        <w:rPr>
          <w:rFonts w:cstheme="minorHAnsi"/>
        </w:rPr>
        <w:t>рублей.</w:t>
      </w:r>
    </w:p>
    <w:p w14:paraId="59CB4D01" w14:textId="60B46AAA" w:rsidR="007F4701" w:rsidRPr="007F4701" w:rsidRDefault="007A0DCF" w:rsidP="006D328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6D3283" w:rsidRPr="006D3283">
        <w:rPr>
          <w:rFonts w:cstheme="minorHAnsi"/>
        </w:rPr>
        <w:t>184</w:t>
      </w:r>
      <w:r w:rsidR="006D3283">
        <w:rPr>
          <w:rFonts w:cstheme="minorHAnsi"/>
        </w:rPr>
        <w:t> </w:t>
      </w:r>
      <w:r w:rsidR="006D3283" w:rsidRPr="006D3283">
        <w:rPr>
          <w:rFonts w:cstheme="minorHAnsi"/>
        </w:rPr>
        <w:t>073</w:t>
      </w:r>
      <w:r w:rsidR="006D3283">
        <w:rPr>
          <w:rFonts w:cstheme="minorHAnsi"/>
        </w:rPr>
        <w:t xml:space="preserve"> </w:t>
      </w:r>
      <w:r w:rsidR="006D3283" w:rsidRPr="006D3283">
        <w:rPr>
          <w:rFonts w:cstheme="minorHAnsi"/>
        </w:rPr>
        <w:t>253,85</w:t>
      </w:r>
      <w:r w:rsidR="006D3283">
        <w:rPr>
          <w:rFonts w:cstheme="minorHAnsi"/>
        </w:rPr>
        <w:t xml:space="preserve">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3387A96"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18C3A9C8"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555169B"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C50ED95" w14:textId="77777777" w:rsidR="00264083" w:rsidRPr="00C50091" w:rsidRDefault="00264083" w:rsidP="00264083">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57B74C96" w14:textId="77777777" w:rsidR="00264083" w:rsidRPr="00C50091" w:rsidRDefault="00264083" w:rsidP="0026408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2E020011" w14:textId="77777777" w:rsidR="00264083" w:rsidRPr="00C50091" w:rsidRDefault="00264083" w:rsidP="0026408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ABB"/>
    <w:rsid w:val="00102B2B"/>
    <w:rsid w:val="001055F2"/>
    <w:rsid w:val="00136EA1"/>
    <w:rsid w:val="001743E3"/>
    <w:rsid w:val="001858EA"/>
    <w:rsid w:val="001A6C68"/>
    <w:rsid w:val="001F0100"/>
    <w:rsid w:val="001F3FB3"/>
    <w:rsid w:val="00226058"/>
    <w:rsid w:val="00232119"/>
    <w:rsid w:val="0023738E"/>
    <w:rsid w:val="00246816"/>
    <w:rsid w:val="00264083"/>
    <w:rsid w:val="002A6763"/>
    <w:rsid w:val="002D04B7"/>
    <w:rsid w:val="002D2D3F"/>
    <w:rsid w:val="002E02FF"/>
    <w:rsid w:val="002F4D15"/>
    <w:rsid w:val="002F65B8"/>
    <w:rsid w:val="00322114"/>
    <w:rsid w:val="00332573"/>
    <w:rsid w:val="00374E3A"/>
    <w:rsid w:val="003834DB"/>
    <w:rsid w:val="00391A30"/>
    <w:rsid w:val="00391D3A"/>
    <w:rsid w:val="003B455E"/>
    <w:rsid w:val="003C408B"/>
    <w:rsid w:val="003D275E"/>
    <w:rsid w:val="003D56F7"/>
    <w:rsid w:val="003E23BE"/>
    <w:rsid w:val="003E4FCA"/>
    <w:rsid w:val="003F6D2F"/>
    <w:rsid w:val="004019F7"/>
    <w:rsid w:val="004154CB"/>
    <w:rsid w:val="00437368"/>
    <w:rsid w:val="00440BA8"/>
    <w:rsid w:val="0048717B"/>
    <w:rsid w:val="004910D2"/>
    <w:rsid w:val="004C220A"/>
    <w:rsid w:val="004C5035"/>
    <w:rsid w:val="004D02F5"/>
    <w:rsid w:val="004E4662"/>
    <w:rsid w:val="004F247F"/>
    <w:rsid w:val="004F6824"/>
    <w:rsid w:val="005433D6"/>
    <w:rsid w:val="00594816"/>
    <w:rsid w:val="005953EA"/>
    <w:rsid w:val="005E2EAC"/>
    <w:rsid w:val="00604C47"/>
    <w:rsid w:val="00633E18"/>
    <w:rsid w:val="006342CC"/>
    <w:rsid w:val="00656118"/>
    <w:rsid w:val="00672235"/>
    <w:rsid w:val="00685482"/>
    <w:rsid w:val="006865EC"/>
    <w:rsid w:val="006C15EF"/>
    <w:rsid w:val="006D3283"/>
    <w:rsid w:val="006F317C"/>
    <w:rsid w:val="00701135"/>
    <w:rsid w:val="0071754E"/>
    <w:rsid w:val="00740D7C"/>
    <w:rsid w:val="00795EDE"/>
    <w:rsid w:val="00797E1B"/>
    <w:rsid w:val="007A0DCF"/>
    <w:rsid w:val="007E1692"/>
    <w:rsid w:val="007E4067"/>
    <w:rsid w:val="007E684E"/>
    <w:rsid w:val="007F4701"/>
    <w:rsid w:val="0081518F"/>
    <w:rsid w:val="0085022A"/>
    <w:rsid w:val="00875689"/>
    <w:rsid w:val="00876ABD"/>
    <w:rsid w:val="00892B09"/>
    <w:rsid w:val="008A35B8"/>
    <w:rsid w:val="008A3954"/>
    <w:rsid w:val="008B29FE"/>
    <w:rsid w:val="008C0FCA"/>
    <w:rsid w:val="008D6D42"/>
    <w:rsid w:val="009357D5"/>
    <w:rsid w:val="0096054C"/>
    <w:rsid w:val="0098657F"/>
    <w:rsid w:val="00986649"/>
    <w:rsid w:val="0099110E"/>
    <w:rsid w:val="009D20F1"/>
    <w:rsid w:val="009D5F29"/>
    <w:rsid w:val="00A04ED1"/>
    <w:rsid w:val="00A12C4D"/>
    <w:rsid w:val="00A240BD"/>
    <w:rsid w:val="00A24F93"/>
    <w:rsid w:val="00A34267"/>
    <w:rsid w:val="00A622B5"/>
    <w:rsid w:val="00A90490"/>
    <w:rsid w:val="00AA1555"/>
    <w:rsid w:val="00AA406B"/>
    <w:rsid w:val="00AB030D"/>
    <w:rsid w:val="00AB68CF"/>
    <w:rsid w:val="00AD2AFD"/>
    <w:rsid w:val="00AE4C73"/>
    <w:rsid w:val="00AF0868"/>
    <w:rsid w:val="00B22EA1"/>
    <w:rsid w:val="00B31A0A"/>
    <w:rsid w:val="00B423DC"/>
    <w:rsid w:val="00B43602"/>
    <w:rsid w:val="00B54044"/>
    <w:rsid w:val="00B54989"/>
    <w:rsid w:val="00B61C41"/>
    <w:rsid w:val="00B83893"/>
    <w:rsid w:val="00B871E0"/>
    <w:rsid w:val="00BA59C8"/>
    <w:rsid w:val="00BD71BF"/>
    <w:rsid w:val="00BF6C3B"/>
    <w:rsid w:val="00C161A4"/>
    <w:rsid w:val="00C45B63"/>
    <w:rsid w:val="00C50091"/>
    <w:rsid w:val="00C57801"/>
    <w:rsid w:val="00C75DF9"/>
    <w:rsid w:val="00C84B56"/>
    <w:rsid w:val="00CB4A8E"/>
    <w:rsid w:val="00CC4BC5"/>
    <w:rsid w:val="00CF0234"/>
    <w:rsid w:val="00D24482"/>
    <w:rsid w:val="00D704B7"/>
    <w:rsid w:val="00DA0098"/>
    <w:rsid w:val="00DD5572"/>
    <w:rsid w:val="00E0632F"/>
    <w:rsid w:val="00E4575A"/>
    <w:rsid w:val="00E46764"/>
    <w:rsid w:val="00E66B06"/>
    <w:rsid w:val="00E96527"/>
    <w:rsid w:val="00EA44D1"/>
    <w:rsid w:val="00EC30BD"/>
    <w:rsid w:val="00EF383C"/>
    <w:rsid w:val="00F45F76"/>
    <w:rsid w:val="00F8635C"/>
    <w:rsid w:val="00F90093"/>
    <w:rsid w:val="00FA006D"/>
    <w:rsid w:val="00FE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7084558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19008578">
      <w:bodyDiv w:val="1"/>
      <w:marLeft w:val="0"/>
      <w:marRight w:val="0"/>
      <w:marTop w:val="0"/>
      <w:marBottom w:val="0"/>
      <w:divBdr>
        <w:top w:val="none" w:sz="0" w:space="0" w:color="auto"/>
        <w:left w:val="none" w:sz="0" w:space="0" w:color="auto"/>
        <w:bottom w:val="none" w:sz="0" w:space="0" w:color="auto"/>
        <w:right w:val="none" w:sz="0" w:space="0" w:color="auto"/>
      </w:divBdr>
    </w:div>
    <w:div w:id="156174333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05634379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0.23009822996280971</c:v>
                </c:pt>
                <c:pt idx="1">
                  <c:v>0.27630232595821352</c:v>
                </c:pt>
                <c:pt idx="2">
                  <c:v>0.24607053854668329</c:v>
                </c:pt>
                <c:pt idx="3">
                  <c:v>0.19117751609461481</c:v>
                </c:pt>
                <c:pt idx="4">
                  <c:v>0.21195745533669799</c:v>
                </c:pt>
              </c:numCache>
            </c:numRef>
          </c:val>
          <c:extLst>
            <c:ext xmlns:c16="http://schemas.microsoft.com/office/drawing/2014/chart" uri="{C3380CC4-5D6E-409C-BE32-E72D297353CC}">
              <c16:uniqueId val="{00000000-1980-4570-B91E-162B3DE1BE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7084-75AA-46B9-8734-D389D828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75</cp:revision>
  <cp:lastPrinted>2021-09-07T11:44:00Z</cp:lastPrinted>
  <dcterms:created xsi:type="dcterms:W3CDTF">2021-10-05T09:49:00Z</dcterms:created>
  <dcterms:modified xsi:type="dcterms:W3CDTF">2024-04-05T09:47:00Z</dcterms:modified>
</cp:coreProperties>
</file>