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63100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D95AFE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EA4D22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5F5ACC" w:rsidRDefault="0031354F" w:rsidP="00EA4D22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F5AC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F5ACC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BF4715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F4715" w:rsidRPr="00250C76" w:rsidRDefault="00BF4715" w:rsidP="00BF471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F4715" w:rsidRPr="00FC6A6C" w:rsidRDefault="00BF4715" w:rsidP="00BF47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BF4715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F4715" w:rsidRPr="00250C76" w:rsidRDefault="00BF4715" w:rsidP="00BF47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4715" w:rsidRPr="00FC6A6C" w:rsidRDefault="00BF4715" w:rsidP="00BF47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BF4715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F4715" w:rsidRPr="00250C76" w:rsidRDefault="00BF4715" w:rsidP="00BF47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4715" w:rsidRPr="00FC6A6C" w:rsidRDefault="00BF4715" w:rsidP="00BF47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-58,0%</w:t>
                  </w:r>
                </w:p>
              </w:tc>
            </w:tr>
            <w:tr w:rsidR="00BF4715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F4715" w:rsidRPr="00250C76" w:rsidRDefault="00BF4715" w:rsidP="00BF47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4715" w:rsidRPr="00FC6A6C" w:rsidRDefault="00BF4715" w:rsidP="00BF47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F4715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F4715" w:rsidRPr="00250C76" w:rsidRDefault="00BF4715" w:rsidP="00BF47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4715" w:rsidRPr="00FC6A6C" w:rsidRDefault="00BF4715" w:rsidP="00BF47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-65,3%</w:t>
                  </w:r>
                </w:p>
              </w:tc>
            </w:tr>
            <w:tr w:rsidR="00BF4715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F4715" w:rsidRPr="00250C76" w:rsidRDefault="00BF4715" w:rsidP="00BF471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F4715" w:rsidRPr="00FC6A6C" w:rsidRDefault="00BF4715" w:rsidP="00BF47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F4715" w:rsidRDefault="00BF4715" w:rsidP="00BF47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-37,6%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60903">
              <w:rPr>
                <w:b/>
              </w:rPr>
              <w:t>671,96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005178">
              <w:rPr>
                <w:b/>
              </w:rPr>
              <w:t>7 873 156 257,77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5F5ACC" w:rsidRPr="007B6AB8" w:rsidRDefault="005F5ACC" w:rsidP="007B6AB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proofErr w:type="gramStart"/>
                  <w:r w:rsidRPr="009B2E32">
                    <w:rPr>
                      <w:sz w:val="14"/>
                    </w:rPr>
                    <w:t>В</w:t>
                  </w:r>
                  <w:proofErr w:type="gramEnd"/>
                  <w:r w:rsidRPr="009B2E32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31217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1204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F28EB"/>
    <w:rsid w:val="00A003E1"/>
    <w:rsid w:val="00A0773D"/>
    <w:rsid w:val="00A2759F"/>
    <w:rsid w:val="00A41760"/>
    <w:rsid w:val="00A65E0E"/>
    <w:rsid w:val="00A729D0"/>
    <w:rsid w:val="00AA7E8D"/>
    <w:rsid w:val="00AB47A2"/>
    <w:rsid w:val="00AD0BBC"/>
    <w:rsid w:val="00AD72DB"/>
    <w:rsid w:val="00AF334C"/>
    <w:rsid w:val="00B06B41"/>
    <w:rsid w:val="00B136C6"/>
    <w:rsid w:val="00B200D2"/>
    <w:rsid w:val="00B504D4"/>
    <w:rsid w:val="00B703A5"/>
    <w:rsid w:val="00B70E3B"/>
    <w:rsid w:val="00B73AF2"/>
    <w:rsid w:val="00B92295"/>
    <w:rsid w:val="00BA12BE"/>
    <w:rsid w:val="00BA3D26"/>
    <w:rsid w:val="00BA7CFF"/>
    <w:rsid w:val="00BC0CE6"/>
    <w:rsid w:val="00BD7DC3"/>
    <w:rsid w:val="00BE1143"/>
    <w:rsid w:val="00BE6278"/>
    <w:rsid w:val="00BF4715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14DAA"/>
    <w:rsid w:val="00D36E16"/>
    <w:rsid w:val="00D65E8D"/>
    <w:rsid w:val="00D66178"/>
    <w:rsid w:val="00D95AFE"/>
    <w:rsid w:val="00D967A1"/>
    <w:rsid w:val="00DA4D8C"/>
    <w:rsid w:val="00DB5AA0"/>
    <w:rsid w:val="00DE34A7"/>
    <w:rsid w:val="00DE611E"/>
    <w:rsid w:val="00E07BEB"/>
    <w:rsid w:val="00E21D59"/>
    <w:rsid w:val="00E70778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82D5-50D8-44A6-948A-3260CC0E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63</cp:revision>
  <dcterms:created xsi:type="dcterms:W3CDTF">2023-03-22T13:00:00Z</dcterms:created>
  <dcterms:modified xsi:type="dcterms:W3CDTF">2024-04-02T14:35:00Z</dcterms:modified>
</cp:coreProperties>
</file>