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F5441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571EC">
        <w:rPr>
          <w:rFonts w:cstheme="minorHAnsi"/>
        </w:rPr>
        <w:t>2</w:t>
      </w:r>
      <w:r w:rsidR="00217E74">
        <w:rPr>
          <w:rFonts w:cstheme="minorHAnsi"/>
        </w:rPr>
        <w:t>7</w:t>
      </w:r>
      <w:r w:rsidR="00986649" w:rsidRPr="0021055B">
        <w:rPr>
          <w:rFonts w:cstheme="minorHAnsi"/>
        </w:rPr>
        <w:t>.</w:t>
      </w:r>
      <w:r w:rsidR="00D3544A">
        <w:rPr>
          <w:rFonts w:cstheme="minorHAnsi"/>
        </w:rPr>
        <w:t>0</w:t>
      </w:r>
      <w:r w:rsidR="00217E74">
        <w:rPr>
          <w:rFonts w:cstheme="minorHAnsi"/>
        </w:rPr>
        <w:t>4</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A97EAA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F07E9">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CCCBBE9" w:rsidR="002E02FF" w:rsidRPr="008B00F7" w:rsidRDefault="00E41925" w:rsidP="002A32EC">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2A32EC">
              <w:rPr>
                <w:rFonts w:cstheme="minorHAnsi"/>
              </w:rPr>
              <w:t>40</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3F4CE4AB" w:rsidR="00C44E59" w:rsidRPr="00C44E59" w:rsidRDefault="00E41925" w:rsidP="002A32EC">
            <w:pPr>
              <w:jc w:val="center"/>
              <w:rPr>
                <w:rFonts w:cstheme="minorHAnsi"/>
              </w:rPr>
            </w:pPr>
            <w:r>
              <w:rPr>
                <w:rFonts w:cstheme="minorHAnsi"/>
              </w:rPr>
              <w:t>4</w:t>
            </w:r>
            <w:r w:rsidR="004A76A1">
              <w:rPr>
                <w:rFonts w:cstheme="minorHAnsi"/>
              </w:rPr>
              <w:t>1</w:t>
            </w:r>
            <w:r w:rsidR="00C44E59">
              <w:rPr>
                <w:rFonts w:cstheme="minorHAnsi"/>
              </w:rPr>
              <w:t>,</w:t>
            </w:r>
            <w:r w:rsidR="002A32EC">
              <w:rPr>
                <w:rFonts w:cstheme="minorHAnsi"/>
              </w:rPr>
              <w:t>40</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420585D7" w:rsidR="00C44E59" w:rsidRPr="00E41925" w:rsidRDefault="00A5283D" w:rsidP="002A32EC">
            <w:pPr>
              <w:jc w:val="center"/>
              <w:rPr>
                <w:rFonts w:cstheme="minorHAnsi"/>
              </w:rPr>
            </w:pPr>
            <w:r>
              <w:rPr>
                <w:rFonts w:cstheme="minorHAnsi"/>
              </w:rPr>
              <w:t>6</w:t>
            </w:r>
            <w:r w:rsidR="00B55E7A">
              <w:rPr>
                <w:rFonts w:cstheme="minorHAnsi"/>
              </w:rPr>
              <w:t>,</w:t>
            </w:r>
            <w:r w:rsidR="00CF07E9">
              <w:rPr>
                <w:rFonts w:cstheme="minorHAnsi"/>
              </w:rPr>
              <w:t>3</w:t>
            </w:r>
            <w:r w:rsidR="002A32EC">
              <w:rPr>
                <w:rFonts w:cstheme="minorHAnsi"/>
              </w:rPr>
              <w:t>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508B44DA" w:rsidR="00EE6EC5" w:rsidRPr="00EE6EC5" w:rsidRDefault="006D27FA" w:rsidP="002A32EC">
            <w:pPr>
              <w:jc w:val="center"/>
              <w:rPr>
                <w:rFonts w:cstheme="minorHAnsi"/>
              </w:rPr>
            </w:pPr>
            <w:r>
              <w:rPr>
                <w:rFonts w:cstheme="minorHAnsi"/>
              </w:rPr>
              <w:t>4</w:t>
            </w:r>
            <w:r w:rsidR="00EE6EC5">
              <w:rPr>
                <w:rFonts w:cstheme="minorHAnsi"/>
              </w:rPr>
              <w:t>,</w:t>
            </w:r>
            <w:r w:rsidR="007226E9">
              <w:rPr>
                <w:rFonts w:cstheme="minorHAnsi"/>
              </w:rPr>
              <w:t>6</w:t>
            </w:r>
            <w:r w:rsidR="002A32EC">
              <w:rPr>
                <w:rFonts w:cstheme="minorHAnsi"/>
              </w:rPr>
              <w:t>5</w:t>
            </w:r>
          </w:p>
        </w:tc>
      </w:tr>
      <w:tr w:rsidR="00E41925" w:rsidRPr="008B00F7" w14:paraId="5ECB9DB2" w14:textId="77777777" w:rsidTr="00E41925">
        <w:tc>
          <w:tcPr>
            <w:tcW w:w="6516" w:type="dxa"/>
          </w:tcPr>
          <w:p w14:paraId="16227D36" w14:textId="7EA540EB" w:rsidR="00E41925" w:rsidRPr="003A3576" w:rsidRDefault="002A32EC" w:rsidP="00A46BB6">
            <w:pPr>
              <w:rPr>
                <w:rFonts w:cstheme="minorHAnsi"/>
              </w:rPr>
            </w:pPr>
            <w:r>
              <w:rPr>
                <w:rFonts w:cstheme="minorHAnsi"/>
              </w:rPr>
              <w:t>Дебиторская задолженность</w:t>
            </w:r>
          </w:p>
        </w:tc>
        <w:tc>
          <w:tcPr>
            <w:tcW w:w="2829" w:type="dxa"/>
          </w:tcPr>
          <w:p w14:paraId="24C96F9D" w14:textId="128647E6" w:rsidR="00E41925" w:rsidRPr="008B00F7" w:rsidRDefault="00CF07E9" w:rsidP="002A32EC">
            <w:pPr>
              <w:jc w:val="center"/>
              <w:rPr>
                <w:rFonts w:cstheme="minorHAnsi"/>
              </w:rPr>
            </w:pPr>
            <w:r>
              <w:rPr>
                <w:rFonts w:cstheme="minorHAnsi"/>
              </w:rPr>
              <w:t>1,</w:t>
            </w:r>
            <w:r w:rsidR="002A32EC">
              <w:rPr>
                <w:rFonts w:cstheme="minorHAnsi"/>
              </w:rPr>
              <w:t>67</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7072E044" w:rsidR="00CC1A2E" w:rsidRPr="00D6508D" w:rsidRDefault="002225B9" w:rsidP="002040DE">
            <w:pPr>
              <w:pStyle w:val="ConsPlusNormal"/>
              <w:ind w:left="283"/>
              <w:rPr>
                <w:rFonts w:asciiTheme="minorHAnsi" w:hAnsiTheme="minorHAnsi" w:cstheme="minorHAnsi"/>
              </w:rPr>
            </w:pPr>
            <w:r>
              <w:rPr>
                <w:rFonts w:cstheme="minorHAnsi"/>
                <w:sz w:val="12"/>
                <w:szCs w:val="12"/>
              </w:rPr>
              <w:t xml:space="preserve">*(использованы данные за </w:t>
            </w:r>
            <w:r w:rsidR="002040DE">
              <w:rPr>
                <w:rFonts w:cstheme="minorHAnsi"/>
                <w:sz w:val="12"/>
                <w:szCs w:val="12"/>
              </w:rPr>
              <w:t>март</w:t>
            </w:r>
            <w:r>
              <w:rPr>
                <w:rFonts w:cstheme="minorHAnsi"/>
                <w:sz w:val="12"/>
                <w:szCs w:val="12"/>
              </w:rPr>
              <w:t xml:space="preserve"> 2024)</w:t>
            </w:r>
          </w:p>
        </w:tc>
      </w:tr>
      <w:tr w:rsidR="002A32EC" w:rsidRPr="00C50091" w14:paraId="163F6D42" w14:textId="77777777" w:rsidTr="00636F44">
        <w:tc>
          <w:tcPr>
            <w:tcW w:w="4365" w:type="dxa"/>
            <w:vMerge/>
          </w:tcPr>
          <w:p w14:paraId="439EA073" w14:textId="77777777" w:rsidR="002A32EC" w:rsidRPr="003B455E" w:rsidRDefault="002A32EC" w:rsidP="002A32EC">
            <w:pPr>
              <w:rPr>
                <w:rFonts w:cstheme="minorHAnsi"/>
              </w:rPr>
            </w:pPr>
            <w:bookmarkStart w:id="0" w:name="_GoBack" w:colFirst="3" w:colLast="3"/>
          </w:p>
        </w:tc>
        <w:tc>
          <w:tcPr>
            <w:tcW w:w="1380" w:type="dxa"/>
            <w:vAlign w:val="bottom"/>
          </w:tcPr>
          <w:p w14:paraId="377E34DE" w14:textId="77777777" w:rsidR="002A32EC" w:rsidRPr="00D6508D" w:rsidRDefault="002A32EC" w:rsidP="002A32EC">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4859D7B3" w:rsidR="002A32EC" w:rsidRPr="00D6508D" w:rsidRDefault="002A32EC" w:rsidP="002A32EC">
            <w:pPr>
              <w:pStyle w:val="ConsPlusNormal"/>
              <w:rPr>
                <w:rFonts w:asciiTheme="minorHAnsi" w:hAnsiTheme="minorHAnsi" w:cstheme="minorHAnsi"/>
              </w:rPr>
            </w:pPr>
            <w:r>
              <w:rPr>
                <w:color w:val="000000"/>
                <w:szCs w:val="22"/>
              </w:rPr>
              <w:t>0,74%</w:t>
            </w:r>
          </w:p>
        </w:tc>
        <w:tc>
          <w:tcPr>
            <w:tcW w:w="1846" w:type="dxa"/>
            <w:vAlign w:val="bottom"/>
          </w:tcPr>
          <w:p w14:paraId="5DA42905" w14:textId="432AAE94" w:rsidR="002A32EC" w:rsidRPr="00D6508D" w:rsidRDefault="002A32EC" w:rsidP="002A32EC">
            <w:pPr>
              <w:pStyle w:val="ConsPlusNormal"/>
              <w:rPr>
                <w:rFonts w:asciiTheme="minorHAnsi" w:hAnsiTheme="minorHAnsi" w:cstheme="minorHAnsi"/>
              </w:rPr>
            </w:pPr>
            <w:r>
              <w:rPr>
                <w:color w:val="000000"/>
                <w:szCs w:val="22"/>
              </w:rPr>
              <w:t>0,35%</w:t>
            </w:r>
          </w:p>
        </w:tc>
      </w:tr>
      <w:tr w:rsidR="002A32EC" w:rsidRPr="00C50091" w14:paraId="734DB2DE" w14:textId="77777777" w:rsidTr="00636F44">
        <w:tc>
          <w:tcPr>
            <w:tcW w:w="4365" w:type="dxa"/>
            <w:vMerge/>
          </w:tcPr>
          <w:p w14:paraId="1A4F3314" w14:textId="77777777" w:rsidR="002A32EC" w:rsidRPr="003B455E" w:rsidRDefault="002A32EC" w:rsidP="002A32EC">
            <w:pPr>
              <w:rPr>
                <w:rFonts w:cstheme="minorHAnsi"/>
              </w:rPr>
            </w:pPr>
          </w:p>
        </w:tc>
        <w:tc>
          <w:tcPr>
            <w:tcW w:w="1380" w:type="dxa"/>
            <w:vAlign w:val="bottom"/>
          </w:tcPr>
          <w:p w14:paraId="6B673F49" w14:textId="77777777" w:rsidR="002A32EC" w:rsidRPr="00D6508D" w:rsidRDefault="002A32EC" w:rsidP="002A32EC">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65E8F264" w:rsidR="002A32EC" w:rsidRPr="00D6508D" w:rsidRDefault="002A32EC" w:rsidP="002A32EC">
            <w:pPr>
              <w:pStyle w:val="ConsPlusNormal"/>
              <w:rPr>
                <w:rFonts w:asciiTheme="minorHAnsi" w:hAnsiTheme="minorHAnsi" w:cstheme="minorHAnsi"/>
              </w:rPr>
            </w:pPr>
            <w:r>
              <w:rPr>
                <w:color w:val="000000"/>
                <w:szCs w:val="22"/>
              </w:rPr>
              <w:t>2,42%</w:t>
            </w:r>
          </w:p>
        </w:tc>
        <w:tc>
          <w:tcPr>
            <w:tcW w:w="1846" w:type="dxa"/>
            <w:vAlign w:val="bottom"/>
          </w:tcPr>
          <w:p w14:paraId="0A9EC4F7" w14:textId="39A12356" w:rsidR="002A32EC" w:rsidRPr="00D6508D" w:rsidRDefault="002A32EC" w:rsidP="002A32EC">
            <w:pPr>
              <w:pStyle w:val="ConsPlusNormal"/>
              <w:rPr>
                <w:rFonts w:asciiTheme="minorHAnsi" w:hAnsiTheme="minorHAnsi" w:cstheme="minorHAnsi"/>
              </w:rPr>
            </w:pPr>
            <w:r>
              <w:rPr>
                <w:color w:val="000000"/>
                <w:szCs w:val="22"/>
              </w:rPr>
              <w:t>0,13%</w:t>
            </w:r>
          </w:p>
        </w:tc>
      </w:tr>
      <w:tr w:rsidR="002A32EC" w:rsidRPr="00C50091" w14:paraId="2D189623" w14:textId="77777777" w:rsidTr="00636F44">
        <w:tc>
          <w:tcPr>
            <w:tcW w:w="4365" w:type="dxa"/>
            <w:vMerge/>
          </w:tcPr>
          <w:p w14:paraId="06D3E770" w14:textId="77777777" w:rsidR="002A32EC" w:rsidRPr="003B455E" w:rsidRDefault="002A32EC" w:rsidP="002A32EC">
            <w:pPr>
              <w:rPr>
                <w:rFonts w:cstheme="minorHAnsi"/>
              </w:rPr>
            </w:pPr>
          </w:p>
        </w:tc>
        <w:tc>
          <w:tcPr>
            <w:tcW w:w="1380" w:type="dxa"/>
            <w:vAlign w:val="bottom"/>
          </w:tcPr>
          <w:p w14:paraId="0A625FAD" w14:textId="77777777" w:rsidR="002A32EC" w:rsidRPr="00D6508D" w:rsidRDefault="002A32EC" w:rsidP="002A32EC">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237B382C" w:rsidR="002A32EC" w:rsidRPr="00D6508D" w:rsidRDefault="002A32EC" w:rsidP="002A32EC">
            <w:pPr>
              <w:pStyle w:val="ConsPlusNormal"/>
              <w:rPr>
                <w:rFonts w:asciiTheme="minorHAnsi" w:hAnsiTheme="minorHAnsi" w:cstheme="minorHAnsi"/>
              </w:rPr>
            </w:pPr>
            <w:r>
              <w:rPr>
                <w:color w:val="000000"/>
                <w:szCs w:val="22"/>
              </w:rPr>
              <w:t>5,27%</w:t>
            </w:r>
          </w:p>
        </w:tc>
        <w:tc>
          <w:tcPr>
            <w:tcW w:w="1846" w:type="dxa"/>
            <w:vAlign w:val="bottom"/>
          </w:tcPr>
          <w:p w14:paraId="5A1631C8" w14:textId="1851C120" w:rsidR="002A32EC" w:rsidRPr="00D6508D" w:rsidRDefault="002A32EC" w:rsidP="002A32EC">
            <w:pPr>
              <w:pStyle w:val="ConsPlusNormal"/>
              <w:rPr>
                <w:rFonts w:asciiTheme="minorHAnsi" w:hAnsiTheme="minorHAnsi" w:cstheme="minorHAnsi"/>
              </w:rPr>
            </w:pPr>
            <w:r>
              <w:rPr>
                <w:color w:val="000000"/>
                <w:szCs w:val="22"/>
              </w:rPr>
              <w:t>0,58%</w:t>
            </w:r>
          </w:p>
        </w:tc>
      </w:tr>
      <w:tr w:rsidR="002A32EC" w:rsidRPr="00C50091" w14:paraId="00022598" w14:textId="77777777" w:rsidTr="00636F44">
        <w:tc>
          <w:tcPr>
            <w:tcW w:w="4365" w:type="dxa"/>
            <w:vMerge/>
          </w:tcPr>
          <w:p w14:paraId="23447C1B" w14:textId="77777777" w:rsidR="002A32EC" w:rsidRPr="003B455E" w:rsidRDefault="002A32EC" w:rsidP="002A32EC">
            <w:pPr>
              <w:rPr>
                <w:rFonts w:cstheme="minorHAnsi"/>
              </w:rPr>
            </w:pPr>
          </w:p>
        </w:tc>
        <w:tc>
          <w:tcPr>
            <w:tcW w:w="1380" w:type="dxa"/>
            <w:vAlign w:val="bottom"/>
          </w:tcPr>
          <w:p w14:paraId="1559E4EA" w14:textId="77777777" w:rsidR="002A32EC" w:rsidRPr="00D6508D" w:rsidRDefault="002A32EC" w:rsidP="002A32EC">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EA985E0" w:rsidR="002A32EC" w:rsidRPr="00D6508D" w:rsidRDefault="002A32EC" w:rsidP="002A32EC">
            <w:pPr>
              <w:pStyle w:val="ConsPlusNormal"/>
              <w:rPr>
                <w:rFonts w:asciiTheme="minorHAnsi" w:hAnsiTheme="minorHAnsi" w:cstheme="minorHAnsi"/>
              </w:rPr>
            </w:pPr>
            <w:r>
              <w:rPr>
                <w:color w:val="000000"/>
                <w:szCs w:val="22"/>
              </w:rPr>
              <w:t>8,81%</w:t>
            </w:r>
          </w:p>
        </w:tc>
        <w:tc>
          <w:tcPr>
            <w:tcW w:w="1846" w:type="dxa"/>
            <w:vAlign w:val="bottom"/>
          </w:tcPr>
          <w:p w14:paraId="4EF284CC" w14:textId="7AF0AEC1" w:rsidR="002A32EC" w:rsidRPr="00D6508D" w:rsidRDefault="002A32EC" w:rsidP="002A32EC">
            <w:pPr>
              <w:pStyle w:val="ConsPlusNormal"/>
              <w:rPr>
                <w:rFonts w:asciiTheme="minorHAnsi" w:hAnsiTheme="minorHAnsi" w:cstheme="minorHAnsi"/>
              </w:rPr>
            </w:pPr>
            <w:r>
              <w:rPr>
                <w:color w:val="000000"/>
                <w:szCs w:val="22"/>
              </w:rPr>
              <w:t>1,12%</w:t>
            </w:r>
          </w:p>
        </w:tc>
      </w:tr>
      <w:tr w:rsidR="002A32EC" w:rsidRPr="00C50091" w14:paraId="61586E32" w14:textId="77777777" w:rsidTr="00F56898">
        <w:tc>
          <w:tcPr>
            <w:tcW w:w="4365" w:type="dxa"/>
            <w:vMerge/>
          </w:tcPr>
          <w:p w14:paraId="6D68E732" w14:textId="77777777" w:rsidR="002A32EC" w:rsidRPr="003B455E" w:rsidRDefault="002A32EC" w:rsidP="002A32EC">
            <w:pPr>
              <w:rPr>
                <w:rFonts w:cstheme="minorHAnsi"/>
              </w:rPr>
            </w:pPr>
          </w:p>
        </w:tc>
        <w:tc>
          <w:tcPr>
            <w:tcW w:w="1380" w:type="dxa"/>
            <w:vAlign w:val="bottom"/>
          </w:tcPr>
          <w:p w14:paraId="6C7A6518" w14:textId="77777777" w:rsidR="002A32EC" w:rsidRPr="00D6508D" w:rsidRDefault="002A32EC" w:rsidP="002A32EC">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285CEAD8" w:rsidR="002A32EC" w:rsidRPr="00D6508D" w:rsidRDefault="002A32EC" w:rsidP="002A32EC">
            <w:pPr>
              <w:pStyle w:val="ConsPlusNormal"/>
              <w:rPr>
                <w:rFonts w:asciiTheme="minorHAnsi" w:hAnsiTheme="minorHAnsi" w:cstheme="minorHAnsi"/>
              </w:rPr>
            </w:pPr>
            <w:r>
              <w:rPr>
                <w:color w:val="000000"/>
                <w:szCs w:val="22"/>
              </w:rPr>
              <w:t>18,35%</w:t>
            </w:r>
          </w:p>
        </w:tc>
        <w:tc>
          <w:tcPr>
            <w:tcW w:w="1846" w:type="dxa"/>
            <w:vAlign w:val="bottom"/>
          </w:tcPr>
          <w:p w14:paraId="4946C1EE" w14:textId="39D065EF" w:rsidR="002A32EC" w:rsidRPr="00D6508D" w:rsidRDefault="002A32EC" w:rsidP="002A32EC">
            <w:pPr>
              <w:pStyle w:val="ConsPlusNormal"/>
              <w:rPr>
                <w:rFonts w:asciiTheme="minorHAnsi" w:hAnsiTheme="minorHAnsi" w:cstheme="minorHAnsi"/>
              </w:rPr>
            </w:pPr>
            <w:r>
              <w:rPr>
                <w:color w:val="000000"/>
                <w:szCs w:val="22"/>
              </w:rPr>
              <w:t>-11,73%</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6A70B58A" w:rsidR="007A0DCF" w:rsidRPr="00C50091" w:rsidRDefault="007E4067" w:rsidP="002A32EC">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2A32EC" w:rsidRPr="002A32EC">
        <w:rPr>
          <w:rFonts w:cstheme="minorHAnsi"/>
        </w:rPr>
        <w:t>302 988,87</w:t>
      </w:r>
      <w:r w:rsidR="0004548B">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A7DC69B" w:rsidR="007A0DCF" w:rsidRPr="00C50091" w:rsidRDefault="007A0DCF" w:rsidP="002A32E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A32EC" w:rsidRPr="002A32EC">
        <w:rPr>
          <w:rFonts w:cstheme="minorHAnsi"/>
        </w:rPr>
        <w:t>1</w:t>
      </w:r>
      <w:r w:rsidR="002A32EC">
        <w:rPr>
          <w:rFonts w:cstheme="minorHAnsi"/>
        </w:rPr>
        <w:t> </w:t>
      </w:r>
      <w:r w:rsidR="002A32EC" w:rsidRPr="002A32EC">
        <w:rPr>
          <w:rFonts w:cstheme="minorHAnsi"/>
        </w:rPr>
        <w:t>023</w:t>
      </w:r>
      <w:r w:rsidR="002A32EC">
        <w:rPr>
          <w:rFonts w:cstheme="minorHAnsi"/>
        </w:rPr>
        <w:t> </w:t>
      </w:r>
      <w:r w:rsidR="002A32EC" w:rsidRPr="002A32EC">
        <w:rPr>
          <w:rFonts w:cstheme="minorHAnsi"/>
        </w:rPr>
        <w:t>110</w:t>
      </w:r>
      <w:r w:rsidR="002A32EC">
        <w:rPr>
          <w:rFonts w:cstheme="minorHAnsi"/>
        </w:rPr>
        <w:t xml:space="preserve"> </w:t>
      </w:r>
      <w:r w:rsidR="002A32EC" w:rsidRPr="002A32EC">
        <w:rPr>
          <w:rFonts w:cstheme="minorHAnsi"/>
        </w:rPr>
        <w:t>607,28</w:t>
      </w:r>
      <w:r w:rsidR="00CF07E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C2207"/>
    <w:rsid w:val="001F3FB3"/>
    <w:rsid w:val="002040DE"/>
    <w:rsid w:val="0021055B"/>
    <w:rsid w:val="00217E74"/>
    <w:rsid w:val="002225B9"/>
    <w:rsid w:val="00282E9C"/>
    <w:rsid w:val="00296B33"/>
    <w:rsid w:val="00296F8D"/>
    <w:rsid w:val="002A32EC"/>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C2D04"/>
    <w:rsid w:val="00DD5572"/>
    <w:rsid w:val="00DF076D"/>
    <w:rsid w:val="00DF35C3"/>
    <w:rsid w:val="00E16923"/>
    <w:rsid w:val="00E41925"/>
    <w:rsid w:val="00E4575A"/>
    <w:rsid w:val="00E66B06"/>
    <w:rsid w:val="00EE6EC5"/>
    <w:rsid w:val="00F571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6A22-0573-4A23-9344-2A8288E6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82</cp:revision>
  <cp:lastPrinted>2021-09-07T11:44:00Z</cp:lastPrinted>
  <dcterms:created xsi:type="dcterms:W3CDTF">2021-09-29T11:03:00Z</dcterms:created>
  <dcterms:modified xsi:type="dcterms:W3CDTF">2024-05-13T12:02:00Z</dcterms:modified>
</cp:coreProperties>
</file>