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9C8D08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C30BF">
        <w:rPr>
          <w:rFonts w:cstheme="minorHAnsi"/>
        </w:rPr>
        <w:t>31</w:t>
      </w:r>
      <w:r w:rsidR="00986649" w:rsidRPr="0021055B">
        <w:rPr>
          <w:rFonts w:cstheme="minorHAnsi"/>
        </w:rPr>
        <w:t>.</w:t>
      </w:r>
      <w:r w:rsidR="003B0DB7">
        <w:rPr>
          <w:rFonts w:cstheme="minorHAnsi"/>
        </w:rPr>
        <w:t>0</w:t>
      </w:r>
      <w:r w:rsidR="008C30BF">
        <w:rPr>
          <w:rFonts w:cstheme="minorHAnsi"/>
        </w:rPr>
        <w:t>5</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402D2718" w:rsidR="00220939" w:rsidRPr="00E93D08" w:rsidRDefault="00EC0475" w:rsidP="009D7716">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9D7716">
              <w:rPr>
                <w:rFonts w:ascii="Calibri" w:hAnsi="Calibri" w:cs="Calibri"/>
                <w:color w:val="000000"/>
              </w:rPr>
              <w:t>27</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CAF959E" w:rsidR="00FA07CD" w:rsidRPr="00E93D08" w:rsidRDefault="009D7716" w:rsidP="009D7716">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02</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1098EEF5" w:rsidR="00220939" w:rsidRDefault="00555652" w:rsidP="009D7716">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9D7716">
              <w:rPr>
                <w:rFonts w:ascii="Calibri" w:hAnsi="Calibri" w:cs="Calibri"/>
                <w:color w:val="000000"/>
              </w:rPr>
              <w:t>56</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786650C1" w:rsidR="00220939" w:rsidRPr="001365DA" w:rsidRDefault="00555652" w:rsidP="009C6663">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w:t>
            </w:r>
            <w:r w:rsidR="009C6663">
              <w:rPr>
                <w:rFonts w:ascii="Calibri" w:hAnsi="Calibri" w:cs="Calibri"/>
                <w:color w:val="000000"/>
              </w:rPr>
              <w:t>5</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469B35FF" w:rsidR="00096223" w:rsidRPr="00C62A22" w:rsidRDefault="00260DC4" w:rsidP="008C30B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8C30BF">
              <w:rPr>
                <w:rFonts w:cstheme="minorHAnsi"/>
                <w:sz w:val="12"/>
                <w:szCs w:val="12"/>
              </w:rPr>
              <w:t>апрель</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475541" w:rsidRPr="00C62A22" w14:paraId="163F6D42" w14:textId="77777777" w:rsidTr="00F16D7D">
        <w:tc>
          <w:tcPr>
            <w:tcW w:w="4365" w:type="dxa"/>
            <w:vMerge/>
          </w:tcPr>
          <w:p w14:paraId="439EA073" w14:textId="77777777" w:rsidR="00475541" w:rsidRPr="00C62A22" w:rsidRDefault="00475541" w:rsidP="00475541">
            <w:pPr>
              <w:rPr>
                <w:rFonts w:cstheme="minorHAnsi"/>
              </w:rPr>
            </w:pPr>
            <w:bookmarkStart w:id="0" w:name="_GoBack" w:colFirst="3" w:colLast="3"/>
          </w:p>
        </w:tc>
        <w:tc>
          <w:tcPr>
            <w:tcW w:w="1380" w:type="dxa"/>
            <w:vAlign w:val="bottom"/>
          </w:tcPr>
          <w:p w14:paraId="377E34DE"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3EF67232" w:rsidR="00475541" w:rsidRPr="00C62A22" w:rsidRDefault="00475541" w:rsidP="00475541">
            <w:pPr>
              <w:pStyle w:val="ConsPlusNormal"/>
              <w:rPr>
                <w:rFonts w:asciiTheme="minorHAnsi" w:hAnsiTheme="minorHAnsi" w:cstheme="minorHAnsi"/>
              </w:rPr>
            </w:pPr>
            <w:r>
              <w:rPr>
                <w:color w:val="000000"/>
                <w:szCs w:val="22"/>
              </w:rPr>
              <w:t>0,79%</w:t>
            </w:r>
          </w:p>
        </w:tc>
        <w:tc>
          <w:tcPr>
            <w:tcW w:w="1705" w:type="dxa"/>
            <w:vAlign w:val="bottom"/>
          </w:tcPr>
          <w:p w14:paraId="5DA42905" w14:textId="3C4D67ED" w:rsidR="00475541" w:rsidRPr="00C62A22" w:rsidRDefault="00475541" w:rsidP="00475541">
            <w:pPr>
              <w:pStyle w:val="ConsPlusNormal"/>
              <w:rPr>
                <w:rFonts w:asciiTheme="minorHAnsi" w:hAnsiTheme="minorHAnsi" w:cstheme="minorHAnsi"/>
              </w:rPr>
            </w:pPr>
            <w:r>
              <w:rPr>
                <w:color w:val="000000"/>
                <w:szCs w:val="22"/>
              </w:rPr>
              <w:t>0,29%</w:t>
            </w:r>
          </w:p>
        </w:tc>
      </w:tr>
      <w:tr w:rsidR="00475541" w:rsidRPr="00C62A22" w14:paraId="734DB2DE" w14:textId="77777777" w:rsidTr="00F16D7D">
        <w:tc>
          <w:tcPr>
            <w:tcW w:w="4365" w:type="dxa"/>
            <w:vMerge/>
          </w:tcPr>
          <w:p w14:paraId="1A4F3314" w14:textId="77777777" w:rsidR="00475541" w:rsidRPr="00C62A22" w:rsidRDefault="00475541" w:rsidP="00475541">
            <w:pPr>
              <w:rPr>
                <w:rFonts w:cstheme="minorHAnsi"/>
              </w:rPr>
            </w:pPr>
          </w:p>
        </w:tc>
        <w:tc>
          <w:tcPr>
            <w:tcW w:w="1380" w:type="dxa"/>
            <w:vAlign w:val="bottom"/>
          </w:tcPr>
          <w:p w14:paraId="6B673F49"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664CF07B" w:rsidR="00475541" w:rsidRPr="00C62A22" w:rsidRDefault="00475541" w:rsidP="00475541">
            <w:pPr>
              <w:pStyle w:val="ConsPlusNormal"/>
              <w:rPr>
                <w:rFonts w:asciiTheme="minorHAnsi" w:hAnsiTheme="minorHAnsi" w:cstheme="minorHAnsi"/>
              </w:rPr>
            </w:pPr>
            <w:r>
              <w:rPr>
                <w:color w:val="000000"/>
                <w:szCs w:val="22"/>
              </w:rPr>
              <w:t>2,46%</w:t>
            </w:r>
          </w:p>
        </w:tc>
        <w:tc>
          <w:tcPr>
            <w:tcW w:w="1705" w:type="dxa"/>
            <w:vAlign w:val="bottom"/>
          </w:tcPr>
          <w:p w14:paraId="0A9EC4F7" w14:textId="7E19EB1C" w:rsidR="00475541" w:rsidRPr="00C62A22" w:rsidRDefault="00475541" w:rsidP="00475541">
            <w:pPr>
              <w:pStyle w:val="ConsPlusNormal"/>
              <w:rPr>
                <w:rFonts w:asciiTheme="minorHAnsi" w:hAnsiTheme="minorHAnsi" w:cstheme="minorHAnsi"/>
              </w:rPr>
            </w:pPr>
            <w:r>
              <w:rPr>
                <w:color w:val="000000"/>
                <w:szCs w:val="22"/>
              </w:rPr>
              <w:t>0,88%</w:t>
            </w:r>
          </w:p>
        </w:tc>
      </w:tr>
      <w:tr w:rsidR="00475541" w:rsidRPr="00C62A22" w14:paraId="2D189623" w14:textId="77777777" w:rsidTr="00F16D7D">
        <w:tc>
          <w:tcPr>
            <w:tcW w:w="4365" w:type="dxa"/>
            <w:vMerge/>
          </w:tcPr>
          <w:p w14:paraId="06D3E770" w14:textId="77777777" w:rsidR="00475541" w:rsidRPr="00C62A22" w:rsidRDefault="00475541" w:rsidP="00475541">
            <w:pPr>
              <w:rPr>
                <w:rFonts w:cstheme="minorHAnsi"/>
              </w:rPr>
            </w:pPr>
          </w:p>
        </w:tc>
        <w:tc>
          <w:tcPr>
            <w:tcW w:w="1380" w:type="dxa"/>
            <w:vAlign w:val="bottom"/>
          </w:tcPr>
          <w:p w14:paraId="0A625FAD"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4DCB900D" w:rsidR="00475541" w:rsidRPr="00C62A22" w:rsidRDefault="00475541" w:rsidP="00475541">
            <w:pPr>
              <w:pStyle w:val="ConsPlusNormal"/>
              <w:rPr>
                <w:rFonts w:asciiTheme="minorHAnsi" w:hAnsiTheme="minorHAnsi" w:cstheme="minorHAnsi"/>
              </w:rPr>
            </w:pPr>
            <w:r>
              <w:rPr>
                <w:color w:val="000000"/>
                <w:szCs w:val="22"/>
              </w:rPr>
              <w:t>4,67%</w:t>
            </w:r>
          </w:p>
        </w:tc>
        <w:tc>
          <w:tcPr>
            <w:tcW w:w="1705" w:type="dxa"/>
            <w:vAlign w:val="bottom"/>
          </w:tcPr>
          <w:p w14:paraId="5A1631C8" w14:textId="76711AA9" w:rsidR="00475541" w:rsidRPr="00C62A22" w:rsidRDefault="00475541" w:rsidP="00475541">
            <w:pPr>
              <w:pStyle w:val="ConsPlusNormal"/>
              <w:rPr>
                <w:rFonts w:asciiTheme="minorHAnsi" w:hAnsiTheme="minorHAnsi" w:cstheme="minorHAnsi"/>
              </w:rPr>
            </w:pPr>
            <w:r>
              <w:rPr>
                <w:color w:val="000000"/>
                <w:szCs w:val="22"/>
              </w:rPr>
              <w:t>0,33%</w:t>
            </w:r>
          </w:p>
        </w:tc>
      </w:tr>
      <w:tr w:rsidR="00475541" w:rsidRPr="00C62A22" w14:paraId="00022598" w14:textId="77777777" w:rsidTr="00F16D7D">
        <w:tc>
          <w:tcPr>
            <w:tcW w:w="4365" w:type="dxa"/>
            <w:vMerge/>
          </w:tcPr>
          <w:p w14:paraId="23447C1B" w14:textId="77777777" w:rsidR="00475541" w:rsidRPr="00C62A22" w:rsidRDefault="00475541" w:rsidP="00475541">
            <w:pPr>
              <w:rPr>
                <w:rFonts w:cstheme="minorHAnsi"/>
              </w:rPr>
            </w:pPr>
          </w:p>
        </w:tc>
        <w:tc>
          <w:tcPr>
            <w:tcW w:w="1380" w:type="dxa"/>
            <w:vAlign w:val="bottom"/>
          </w:tcPr>
          <w:p w14:paraId="1559E4EA"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72FC6ECE" w:rsidR="00475541" w:rsidRPr="00C62A22" w:rsidRDefault="00475541" w:rsidP="00475541">
            <w:pPr>
              <w:pStyle w:val="ConsPlusNormal"/>
              <w:rPr>
                <w:rFonts w:asciiTheme="minorHAnsi" w:hAnsiTheme="minorHAnsi" w:cstheme="minorHAnsi"/>
              </w:rPr>
            </w:pPr>
            <w:r>
              <w:rPr>
                <w:color w:val="000000"/>
                <w:szCs w:val="22"/>
              </w:rPr>
              <w:t>10,35%</w:t>
            </w:r>
          </w:p>
        </w:tc>
        <w:tc>
          <w:tcPr>
            <w:tcW w:w="1705" w:type="dxa"/>
            <w:vAlign w:val="bottom"/>
          </w:tcPr>
          <w:p w14:paraId="4EF284CC" w14:textId="0EC2E080" w:rsidR="00475541" w:rsidRPr="00C62A22" w:rsidRDefault="00475541" w:rsidP="00475541">
            <w:pPr>
              <w:pStyle w:val="ConsPlusNormal"/>
              <w:rPr>
                <w:rFonts w:asciiTheme="minorHAnsi" w:hAnsiTheme="minorHAnsi" w:cstheme="minorHAnsi"/>
              </w:rPr>
            </w:pPr>
            <w:r>
              <w:rPr>
                <w:color w:val="000000"/>
                <w:szCs w:val="22"/>
              </w:rPr>
              <w:t>2,53%</w:t>
            </w:r>
          </w:p>
        </w:tc>
      </w:tr>
      <w:tr w:rsidR="00475541" w:rsidRPr="00C62A22" w14:paraId="61586E32" w14:textId="77777777" w:rsidTr="00E74613">
        <w:tc>
          <w:tcPr>
            <w:tcW w:w="4365" w:type="dxa"/>
            <w:vMerge/>
          </w:tcPr>
          <w:p w14:paraId="6D68E732" w14:textId="77777777" w:rsidR="00475541" w:rsidRPr="00C62A22" w:rsidRDefault="00475541" w:rsidP="00475541">
            <w:pPr>
              <w:rPr>
                <w:rFonts w:cstheme="minorHAnsi"/>
              </w:rPr>
            </w:pPr>
          </w:p>
        </w:tc>
        <w:tc>
          <w:tcPr>
            <w:tcW w:w="1380" w:type="dxa"/>
            <w:vAlign w:val="bottom"/>
          </w:tcPr>
          <w:p w14:paraId="6C7A6518"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332D81A4" w:rsidR="00475541" w:rsidRPr="00C62A22" w:rsidRDefault="00475541" w:rsidP="00475541">
            <w:pPr>
              <w:pStyle w:val="ConsPlusNormal"/>
              <w:rPr>
                <w:rFonts w:asciiTheme="minorHAnsi" w:hAnsiTheme="minorHAnsi" w:cstheme="minorHAnsi"/>
              </w:rPr>
            </w:pPr>
            <w:r>
              <w:rPr>
                <w:color w:val="000000"/>
                <w:szCs w:val="22"/>
              </w:rPr>
              <w:t>26,15%</w:t>
            </w:r>
          </w:p>
        </w:tc>
        <w:tc>
          <w:tcPr>
            <w:tcW w:w="1705" w:type="dxa"/>
            <w:vAlign w:val="bottom"/>
          </w:tcPr>
          <w:p w14:paraId="4946C1EE" w14:textId="485DDC2E" w:rsidR="00475541" w:rsidRPr="00C62A22" w:rsidRDefault="00475541" w:rsidP="00475541">
            <w:pPr>
              <w:pStyle w:val="ConsPlusNormal"/>
              <w:rPr>
                <w:rFonts w:asciiTheme="minorHAnsi" w:hAnsiTheme="minorHAnsi" w:cstheme="minorHAnsi"/>
              </w:rPr>
            </w:pPr>
            <w:r>
              <w:rPr>
                <w:color w:val="000000"/>
                <w:szCs w:val="22"/>
              </w:rPr>
              <w:t>-3,83%</w:t>
            </w:r>
          </w:p>
        </w:tc>
      </w:tr>
      <w:tr w:rsidR="00475541" w:rsidRPr="00C50091" w14:paraId="23E49679" w14:textId="77777777" w:rsidTr="00052D51">
        <w:tc>
          <w:tcPr>
            <w:tcW w:w="4365" w:type="dxa"/>
            <w:vMerge/>
          </w:tcPr>
          <w:p w14:paraId="18885D97" w14:textId="77777777" w:rsidR="00475541" w:rsidRPr="00C62A22" w:rsidRDefault="00475541" w:rsidP="00475541">
            <w:pPr>
              <w:pStyle w:val="ConsPlusNormal"/>
              <w:rPr>
                <w:rFonts w:asciiTheme="minorHAnsi" w:hAnsiTheme="minorHAnsi" w:cstheme="minorHAnsi"/>
              </w:rPr>
            </w:pPr>
          </w:p>
        </w:tc>
        <w:tc>
          <w:tcPr>
            <w:tcW w:w="1380" w:type="dxa"/>
            <w:vAlign w:val="bottom"/>
          </w:tcPr>
          <w:p w14:paraId="427B3323" w14:textId="77777777" w:rsidR="00475541" w:rsidRPr="00C62A22" w:rsidRDefault="00475541" w:rsidP="00475541">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0AF7A6C3" w:rsidR="00475541" w:rsidRPr="00C62A22" w:rsidRDefault="00475541" w:rsidP="00475541">
            <w:pPr>
              <w:pStyle w:val="ConsPlusNormal"/>
              <w:rPr>
                <w:rFonts w:asciiTheme="minorHAnsi" w:hAnsiTheme="minorHAnsi" w:cstheme="minorHAnsi"/>
              </w:rPr>
            </w:pPr>
            <w:r>
              <w:rPr>
                <w:color w:val="000000"/>
                <w:szCs w:val="22"/>
              </w:rPr>
              <w:t>41,97%</w:t>
            </w:r>
          </w:p>
        </w:tc>
        <w:tc>
          <w:tcPr>
            <w:tcW w:w="1705" w:type="dxa"/>
            <w:vAlign w:val="bottom"/>
          </w:tcPr>
          <w:p w14:paraId="529BB3CB" w14:textId="22156416" w:rsidR="00475541" w:rsidRPr="00C62A22" w:rsidRDefault="00475541" w:rsidP="00475541">
            <w:pPr>
              <w:pStyle w:val="ConsPlusNormal"/>
              <w:rPr>
                <w:rFonts w:asciiTheme="minorHAnsi" w:hAnsiTheme="minorHAnsi" w:cstheme="minorHAnsi"/>
              </w:rPr>
            </w:pPr>
            <w:r>
              <w:rPr>
                <w:color w:val="000000"/>
                <w:szCs w:val="22"/>
              </w:rPr>
              <w:t>0,57%</w:t>
            </w:r>
          </w:p>
        </w:tc>
      </w:tr>
      <w:bookmarkEnd w:id="0"/>
    </w:tbl>
    <w:p w14:paraId="136D627F" w14:textId="77777777" w:rsidR="004F6824" w:rsidRPr="00C50091" w:rsidRDefault="004F6824" w:rsidP="00986649">
      <w:pPr>
        <w:spacing w:line="276" w:lineRule="auto"/>
        <w:rPr>
          <w:rFonts w:cstheme="minorHAnsi"/>
        </w:rPr>
      </w:pPr>
    </w:p>
    <w:p w14:paraId="66686100" w14:textId="0589F93B" w:rsidR="007A0DCF" w:rsidRPr="00C50091" w:rsidRDefault="007E4067" w:rsidP="009D771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D7716" w:rsidRPr="009D7716">
        <w:rPr>
          <w:rFonts w:cstheme="minorHAnsi"/>
        </w:rPr>
        <w:t>311 883,23</w:t>
      </w:r>
      <w:r w:rsidR="00EC6193">
        <w:rPr>
          <w:rFonts w:cstheme="minorHAnsi"/>
        </w:rPr>
        <w:t xml:space="preserve"> </w:t>
      </w:r>
      <w:r w:rsidRPr="00C50091">
        <w:rPr>
          <w:rFonts w:cstheme="minorHAnsi"/>
        </w:rPr>
        <w:t>рублей.</w:t>
      </w:r>
    </w:p>
    <w:p w14:paraId="2FE68D87" w14:textId="7E4E80E5" w:rsidR="007A0DCF" w:rsidRPr="00C50091" w:rsidRDefault="007A0DCF" w:rsidP="009D771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D7716" w:rsidRPr="009D7716">
        <w:rPr>
          <w:rFonts w:cstheme="minorHAnsi"/>
        </w:rPr>
        <w:t>311</w:t>
      </w:r>
      <w:r w:rsidR="009D7716">
        <w:rPr>
          <w:rFonts w:cstheme="minorHAnsi"/>
        </w:rPr>
        <w:t> </w:t>
      </w:r>
      <w:r w:rsidR="009D7716" w:rsidRPr="009D7716">
        <w:rPr>
          <w:rFonts w:cstheme="minorHAnsi"/>
        </w:rPr>
        <w:t>883</w:t>
      </w:r>
      <w:r w:rsidR="009D7716">
        <w:rPr>
          <w:rFonts w:cstheme="minorHAnsi"/>
        </w:rPr>
        <w:t xml:space="preserve"> </w:t>
      </w:r>
      <w:r w:rsidR="009D7716" w:rsidRPr="009D7716">
        <w:rPr>
          <w:rFonts w:cstheme="minorHAnsi"/>
        </w:rPr>
        <w:t>233,</w:t>
      </w:r>
      <w:proofErr w:type="gramStart"/>
      <w:r w:rsidR="009D7716" w:rsidRPr="009D7716">
        <w:rPr>
          <w:rFonts w:cstheme="minorHAnsi"/>
        </w:rPr>
        <w:t xml:space="preserve">84 </w:t>
      </w:r>
      <w:r w:rsidR="00544974" w:rsidRPr="00544974">
        <w:rPr>
          <w:rFonts w:cstheme="minorHAnsi"/>
        </w:rPr>
        <w:t> </w:t>
      </w:r>
      <w:r w:rsidRPr="00C50091">
        <w:rPr>
          <w:rFonts w:cstheme="minorHAnsi"/>
        </w:rPr>
        <w:t>рублей</w:t>
      </w:r>
      <w:proofErr w:type="gramEnd"/>
      <w:r w:rsidRPr="00C50091">
        <w:rPr>
          <w:rFonts w:cstheme="minorHAnsi"/>
        </w:rPr>
        <w:t>.</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lastRenderedPageBreak/>
        <w:t>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w:t>
      </w:r>
      <w:r w:rsidRPr="00C50091">
        <w:rPr>
          <w:rFonts w:cstheme="minorHAnsi"/>
          <w:lang w:eastAsia="ru-RU"/>
        </w:rPr>
        <w:lastRenderedPageBreak/>
        <w:t xml:space="preserve">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25A4B"/>
    <w:rsid w:val="00850168"/>
    <w:rsid w:val="00876ABD"/>
    <w:rsid w:val="00894D02"/>
    <w:rsid w:val="008C30BF"/>
    <w:rsid w:val="0090108A"/>
    <w:rsid w:val="00906F4E"/>
    <w:rsid w:val="00946C39"/>
    <w:rsid w:val="00962F7C"/>
    <w:rsid w:val="00967A92"/>
    <w:rsid w:val="00986649"/>
    <w:rsid w:val="0099110E"/>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2021-12-09T14:56:00Z</dcterms:created>
  <dcterms:modified xsi:type="dcterms:W3CDTF">2024-06-10T16:37:00Z</dcterms:modified>
</cp:coreProperties>
</file>