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9F1EFF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52E45">
              <w:rPr>
                <w:b/>
              </w:rPr>
              <w:t>31.05.2024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9A4378B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2E7210">
              <w:t>34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718F3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6AB7453" w:rsidR="001718F3" w:rsidRPr="002678A7" w:rsidRDefault="001718F3" w:rsidP="001718F3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D10CDC6" w:rsidR="001718F3" w:rsidRPr="002678A7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152B1DF" w:rsidR="001718F3" w:rsidRPr="002678A7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8,89</w:t>
                  </w:r>
                </w:p>
              </w:tc>
            </w:tr>
            <w:tr w:rsidR="001718F3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72C19B12" w:rsidR="001718F3" w:rsidRPr="00AD3EF8" w:rsidRDefault="001718F3" w:rsidP="001718F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6F08F264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70A07588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8,57</w:t>
                  </w:r>
                </w:p>
              </w:tc>
            </w:tr>
            <w:tr w:rsidR="001718F3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1586A05B" w:rsidR="001718F3" w:rsidRPr="00EF69E5" w:rsidRDefault="001718F3" w:rsidP="001718F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09BFBB1F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3FC830AF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6,46</w:t>
                  </w:r>
                </w:p>
              </w:tc>
            </w:tr>
            <w:tr w:rsidR="001718F3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72098A58" w:rsidR="001718F3" w:rsidRPr="00EF69E5" w:rsidRDefault="001718F3" w:rsidP="001718F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6063FBBF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69B413A6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6,28</w:t>
                  </w:r>
                </w:p>
              </w:tc>
            </w:tr>
            <w:tr w:rsidR="001718F3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301A4B1D" w:rsidR="001718F3" w:rsidRPr="007E01A8" w:rsidRDefault="001718F3" w:rsidP="001718F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1E12A0D9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6D7EA167" w:rsidR="001718F3" w:rsidRDefault="001718F3" w:rsidP="001718F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5,70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E369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E3699" w:rsidRPr="00250C76" w:rsidRDefault="00DE3699" w:rsidP="00DE369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E3699" w:rsidRPr="00FC6A6C" w:rsidRDefault="00DE3699" w:rsidP="00DE3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D5E137" w:rsidR="00DE3699" w:rsidRPr="009309C1" w:rsidRDefault="00DE3699" w:rsidP="00DE369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8CD2FBB" w:rsidR="00DE3699" w:rsidRPr="009309C1" w:rsidRDefault="00DE3699" w:rsidP="00DE369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2C8D6AB" w:rsidR="00DE3699" w:rsidRPr="009309C1" w:rsidRDefault="00DE3699" w:rsidP="00DE3699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DE369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E3699" w:rsidRPr="00250C76" w:rsidRDefault="00DE3699" w:rsidP="00DE369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E3699" w:rsidRPr="00FC6A6C" w:rsidRDefault="00DE3699" w:rsidP="00DE3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281340E" w:rsidR="00DE3699" w:rsidRDefault="00DE3699" w:rsidP="00DE3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FE9E20E" w:rsidR="00DE3699" w:rsidRDefault="00DE3699" w:rsidP="00DE3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BD961E0" w:rsidR="00DE3699" w:rsidRPr="007D06B4" w:rsidRDefault="00DE3699" w:rsidP="00DE369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</w:tr>
            <w:tr w:rsidR="00DE3699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DE3699" w:rsidRPr="00250C76" w:rsidRDefault="00DE3699" w:rsidP="00DE369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E3699" w:rsidRPr="00FC6A6C" w:rsidRDefault="00DE3699" w:rsidP="00DE3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6D9318DF" w:rsidR="00DE3699" w:rsidRDefault="00DE3699" w:rsidP="00DE3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7D3291B" w:rsidR="00DE3699" w:rsidRDefault="00DE3699" w:rsidP="00DE3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941EFD2" w:rsidR="00DE3699" w:rsidRPr="007D06B4" w:rsidRDefault="00DE3699" w:rsidP="00DE369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2AC837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60D46">
              <w:rPr>
                <w:b/>
              </w:rPr>
              <w:t>1 260,07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394FD7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E5076C">
              <w:rPr>
                <w:b/>
              </w:rPr>
              <w:t>8 162 195 412,87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4E6869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DE3699"/>
    <w:rsid w:val="00E13FD7"/>
    <w:rsid w:val="00E5076C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97BA-762F-4A22-AA91-BBE333B6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113</cp:revision>
  <dcterms:created xsi:type="dcterms:W3CDTF">2023-03-22T19:30:00Z</dcterms:created>
  <dcterms:modified xsi:type="dcterms:W3CDTF">2024-06-06T09:31:00Z</dcterms:modified>
</cp:coreProperties>
</file>