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w:t>
      </w:r>
      <w:r w:rsidRPr="009A37CE">
        <w:rPr>
          <w:rFonts w:cstheme="minorHAnsi"/>
          <w:b/>
        </w:rPr>
        <w:t>недвижимости «</w:t>
      </w:r>
      <w:r w:rsidR="009A37CE" w:rsidRPr="009A37CE">
        <w:rPr>
          <w:rFonts w:cstheme="minorHAnsi"/>
          <w:b/>
        </w:rPr>
        <w:t>АКТИВО ДВАДЦАТЬ</w:t>
      </w:r>
      <w:r w:rsidRPr="009A37CE">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850B5F">
        <w:rPr>
          <w:rFonts w:cstheme="minorHAnsi"/>
        </w:rPr>
        <w:t>28</w:t>
      </w:r>
      <w:r w:rsidRPr="0021055B">
        <w:rPr>
          <w:rFonts w:cstheme="minorHAnsi"/>
        </w:rPr>
        <w:t>.</w:t>
      </w:r>
      <w:r w:rsidR="007537E7">
        <w:rPr>
          <w:rFonts w:cstheme="minorHAnsi"/>
        </w:rPr>
        <w:t>0</w:t>
      </w:r>
      <w:r w:rsidR="00850B5F">
        <w:rPr>
          <w:rFonts w:cstheme="minorHAnsi"/>
        </w:rPr>
        <w:t>6</w:t>
      </w:r>
      <w:bookmarkStart w:id="0" w:name="_GoBack"/>
      <w:bookmarkEnd w:id="0"/>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9A37CE">
        <w:rPr>
          <w:rFonts w:cstheme="minorHAnsi"/>
          <w:b/>
        </w:rPr>
        <w:t>АКТИВО ДВАДЦАТЬ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9A37CE">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9A37CE" w:rsidRPr="00DA6682">
          <w:rPr>
            <w:rStyle w:val="a5"/>
          </w:rPr>
          <w:t>https://www.alfacapital.ru/disclosure/pifs_closed/zpifn_act20/pif-rules</w:t>
        </w:r>
      </w:hyperlink>
      <w:r w:rsidR="009A37CE">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t>-</w:t>
      </w:r>
      <w:r w:rsidRPr="001833AE">
        <w:t xml:space="preserve">. </w:t>
      </w:r>
      <w:r>
        <w:t>*</w:t>
      </w:r>
    </w:p>
    <w:p w:rsidR="00BE1601" w:rsidRPr="001833AE" w:rsidRDefault="00BE1601" w:rsidP="00BE1601">
      <w:pPr>
        <w:pStyle w:val="a3"/>
        <w:numPr>
          <w:ilvl w:val="0"/>
          <w:numId w:val="2"/>
        </w:numPr>
        <w:spacing w:line="276" w:lineRule="auto"/>
        <w:rPr>
          <w:rFonts w:cstheme="minorHAnsi"/>
        </w:rPr>
      </w:pPr>
      <w:r w:rsidRPr="001833AE">
        <w:rPr>
          <w:rFonts w:cstheme="minorHAnsi"/>
        </w:rPr>
        <w:t>Активы Фонда инвестированы в следующие объект</w:t>
      </w:r>
      <w:r>
        <w:rPr>
          <w:rFonts w:cstheme="minorHAnsi"/>
        </w:rPr>
        <w:t>ы</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BE1601" w:rsidP="007C4F26">
            <w:pPr>
              <w:spacing w:line="276" w:lineRule="auto"/>
              <w:rPr>
                <w:rFonts w:cstheme="minorHAnsi"/>
              </w:rPr>
            </w:pPr>
            <w:r>
              <w:rPr>
                <w:rFonts w:cstheme="minorHAnsi"/>
              </w:rPr>
              <w:t>-</w:t>
            </w:r>
          </w:p>
        </w:tc>
        <w:tc>
          <w:tcPr>
            <w:tcW w:w="2829" w:type="dxa"/>
            <w:shd w:val="clear" w:color="auto" w:fill="auto"/>
          </w:tcPr>
          <w:p w:rsidR="00BE1601" w:rsidRPr="001833AE" w:rsidRDefault="00BE1601" w:rsidP="007C4F26">
            <w:pPr>
              <w:spacing w:line="276" w:lineRule="auto"/>
              <w:jc w:val="center"/>
              <w:rPr>
                <w:rFonts w:cstheme="minorHAnsi"/>
              </w:rPr>
            </w:pPr>
            <w:r>
              <w:rPr>
                <w:rFonts w:cstheme="minorHAnsi"/>
              </w:rPr>
              <w:t>-</w:t>
            </w:r>
          </w:p>
        </w:tc>
      </w:tr>
      <w:tr w:rsidR="00BE1601" w:rsidRPr="001833AE" w:rsidTr="007C4F26">
        <w:tc>
          <w:tcPr>
            <w:tcW w:w="6516" w:type="dxa"/>
            <w:shd w:val="clear" w:color="auto" w:fill="auto"/>
          </w:tcPr>
          <w:p w:rsidR="00BE1601" w:rsidRPr="001833AE" w:rsidRDefault="00BE1601" w:rsidP="007C4F26">
            <w:pPr>
              <w:rPr>
                <w:rFonts w:cstheme="minorHAnsi"/>
              </w:rPr>
            </w:pPr>
            <w:r>
              <w:rPr>
                <w:rFonts w:cstheme="minorHAnsi"/>
              </w:rPr>
              <w:t>-</w:t>
            </w:r>
          </w:p>
        </w:tc>
        <w:tc>
          <w:tcPr>
            <w:tcW w:w="2829" w:type="dxa"/>
            <w:shd w:val="clear" w:color="auto" w:fill="auto"/>
          </w:tcPr>
          <w:p w:rsidR="00BE1601" w:rsidRPr="003E26CF" w:rsidRDefault="00BE1601" w:rsidP="007C4F26">
            <w:pPr>
              <w:spacing w:line="276" w:lineRule="auto"/>
              <w:jc w:val="center"/>
              <w:rPr>
                <w:rFonts w:cstheme="minorHAnsi"/>
              </w:rPr>
            </w:pPr>
            <w:r>
              <w:rPr>
                <w:rFonts w:cstheme="minorHAnsi"/>
              </w:rPr>
              <w:t>-</w:t>
            </w:r>
          </w:p>
        </w:tc>
      </w:tr>
      <w:tr w:rsidR="00BE1601" w:rsidRPr="001833AE" w:rsidTr="007C4F26">
        <w:tc>
          <w:tcPr>
            <w:tcW w:w="6516" w:type="dxa"/>
            <w:shd w:val="clear" w:color="auto" w:fill="auto"/>
          </w:tcPr>
          <w:p w:rsidR="00BE1601" w:rsidRPr="001833AE" w:rsidRDefault="00BE1601" w:rsidP="007C4F26">
            <w:pPr>
              <w:rPr>
                <w:rFonts w:cstheme="minorHAnsi"/>
              </w:rPr>
            </w:pPr>
            <w:r>
              <w:rPr>
                <w:rFonts w:cstheme="minorHAnsi"/>
              </w:rPr>
              <w:t>-</w:t>
            </w:r>
          </w:p>
        </w:tc>
        <w:tc>
          <w:tcPr>
            <w:tcW w:w="2829" w:type="dxa"/>
            <w:shd w:val="clear" w:color="auto" w:fill="auto"/>
          </w:tcPr>
          <w:p w:rsidR="00BE1601" w:rsidRPr="003E26CF" w:rsidRDefault="00BE1601" w:rsidP="007C4F26">
            <w:pPr>
              <w:spacing w:line="276" w:lineRule="auto"/>
              <w:jc w:val="center"/>
              <w:rPr>
                <w:rFonts w:cstheme="minorHAnsi"/>
              </w:rPr>
            </w:pPr>
            <w:r>
              <w:rPr>
                <w:rFonts w:cstheme="minorHAnsi"/>
              </w:rPr>
              <w:t>-</w:t>
            </w:r>
          </w:p>
        </w:tc>
      </w:tr>
    </w:tbl>
    <w:p w:rsidR="00BE1601" w:rsidRDefault="00BE1601" w:rsidP="00BE1601">
      <w:pPr>
        <w:spacing w:after="0" w:line="240" w:lineRule="auto"/>
        <w:rPr>
          <w:rFonts w:cstheme="minorHAnsi"/>
          <w:b/>
        </w:rPr>
      </w:pPr>
    </w:p>
    <w:p w:rsidR="00BE1601" w:rsidRPr="00832FB4" w:rsidRDefault="00BE1601" w:rsidP="00BE1601">
      <w:pPr>
        <w:spacing w:after="0" w:line="240" w:lineRule="auto"/>
        <w:jc w:val="both"/>
        <w:rPr>
          <w:rFonts w:cstheme="minorHAnsi"/>
          <w:sz w:val="18"/>
          <w:szCs w:val="18"/>
        </w:rPr>
      </w:pPr>
      <w:r w:rsidRPr="00832FB4">
        <w:rPr>
          <w:rFonts w:cstheme="minorHAnsi"/>
          <w:sz w:val="18"/>
          <w:szCs w:val="18"/>
        </w:rPr>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E36902" w:rsidRDefault="00BE1601" w:rsidP="007C4F26">
            <w:pPr>
              <w:pStyle w:val="ConsPlusNormal"/>
              <w:rPr>
                <w:color w:val="000000"/>
                <w:szCs w:val="22"/>
              </w:rPr>
            </w:pPr>
            <w:r>
              <w:rPr>
                <w:color w:val="000000"/>
                <w:szCs w:val="22"/>
              </w:rPr>
              <w:t>-</w:t>
            </w:r>
          </w:p>
        </w:tc>
        <w:tc>
          <w:tcPr>
            <w:tcW w:w="1705" w:type="dxa"/>
            <w:vAlign w:val="bottom"/>
          </w:tcPr>
          <w:p w:rsidR="00BE1601" w:rsidRPr="00E36902" w:rsidRDefault="00BE1601" w:rsidP="007C4F26">
            <w:pPr>
              <w:pStyle w:val="ConsPlusNormal"/>
              <w:rPr>
                <w:color w:val="000000"/>
                <w:szCs w:val="22"/>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Pr>
          <w:rFonts w:cstheme="minorHAnsi"/>
        </w:rPr>
        <w:t>не сформирован</w:t>
      </w:r>
      <w:r w:rsidRPr="001A3404">
        <w:rPr>
          <w:rFonts w:cstheme="minorHAnsi"/>
        </w:rPr>
        <w:t>.</w:t>
      </w:r>
    </w:p>
    <w:p w:rsidR="00BE1601" w:rsidRPr="00C50091" w:rsidRDefault="00BE1601" w:rsidP="00BE160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proofErr w:type="gramStart"/>
      <w:r>
        <w:rPr>
          <w:rFonts w:cstheme="minorHAnsi"/>
        </w:rPr>
        <w:t>-</w:t>
      </w:r>
      <w:r w:rsidRPr="00C50091">
        <w:rPr>
          <w:rFonts w:cstheme="minorHAnsi"/>
        </w:rPr>
        <w:t>.</w:t>
      </w:r>
      <w:r>
        <w:rPr>
          <w:rFonts w:cstheme="minorHAnsi"/>
        </w:rPr>
        <w:t>*</w:t>
      </w:r>
      <w:proofErr w:type="gramEnd"/>
    </w:p>
    <w:p w:rsidR="00BE1601" w:rsidRPr="00C50091" w:rsidRDefault="00BE1601" w:rsidP="00BE160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proofErr w:type="gramStart"/>
      <w:r>
        <w:rPr>
          <w:rFonts w:cstheme="minorHAnsi"/>
        </w:rPr>
        <w:t>-</w:t>
      </w:r>
      <w:r w:rsidRPr="00C50091">
        <w:rPr>
          <w:rFonts w:cstheme="minorHAnsi"/>
        </w:rPr>
        <w:t>.</w:t>
      </w:r>
      <w:r>
        <w:rPr>
          <w:rFonts w:cstheme="minorHAnsi"/>
        </w:rPr>
        <w:t>*</w:t>
      </w:r>
      <w:proofErr w:type="gramEnd"/>
    </w:p>
    <w:p w:rsidR="00BE1601" w:rsidRDefault="00BE1601" w:rsidP="00BE1601">
      <w:pPr>
        <w:spacing w:after="0" w:line="240" w:lineRule="auto"/>
        <w:jc w:val="both"/>
        <w:rPr>
          <w:rFonts w:cstheme="minorHAnsi"/>
          <w:sz w:val="18"/>
          <w:szCs w:val="18"/>
        </w:rPr>
      </w:pPr>
      <w:r w:rsidRPr="00832FB4">
        <w:rPr>
          <w:rFonts w:cstheme="minorHAnsi"/>
          <w:sz w:val="18"/>
          <w:szCs w:val="18"/>
        </w:rPr>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BE1601" w:rsidRPr="00832FB4" w:rsidRDefault="00BE1601" w:rsidP="00BE1601">
      <w:pPr>
        <w:spacing w:after="0" w:line="240" w:lineRule="auto"/>
        <w:jc w:val="both"/>
        <w:rPr>
          <w:rFonts w:cstheme="minorHAnsi"/>
          <w:sz w:val="18"/>
          <w:szCs w:val="18"/>
        </w:rPr>
      </w:pPr>
    </w:p>
    <w:p w:rsidR="009A37CE" w:rsidRPr="009A37CE" w:rsidRDefault="009A37CE" w:rsidP="009A37CE">
      <w:pPr>
        <w:pStyle w:val="a3"/>
        <w:numPr>
          <w:ilvl w:val="0"/>
          <w:numId w:val="3"/>
        </w:numPr>
        <w:autoSpaceDE w:val="0"/>
        <w:autoSpaceDN w:val="0"/>
        <w:adjustRightInd w:val="0"/>
        <w:spacing w:after="0" w:line="240" w:lineRule="auto"/>
        <w:jc w:val="both"/>
        <w:rPr>
          <w:rFonts w:cstheme="minorHAnsi"/>
        </w:rPr>
      </w:pPr>
      <w:r w:rsidRPr="009A37CE">
        <w:rPr>
          <w:rFonts w:cstheme="minorHAnsi"/>
          <w:lang w:eastAsia="ru-RU"/>
        </w:rPr>
        <w:t xml:space="preserve">Доход по инвестиционным паям выплачивается владельцам инвестиционных паев за каждый отчетный период. </w:t>
      </w:r>
      <w:r w:rsidRPr="009A37CE">
        <w:rPr>
          <w:rFonts w:cstheme="minorHAnsi"/>
        </w:rPr>
        <w:t xml:space="preserve">Доход от доверительного управления распределяется среди владельцев инвестиционных паев пропорционально количеству инвестиционных паев, </w:t>
      </w:r>
      <w:r w:rsidRPr="009A37CE">
        <w:rPr>
          <w:rFonts w:cstheme="minorHAnsi"/>
        </w:rPr>
        <w:lastRenderedPageBreak/>
        <w:t>принадлежащих им на дату определения лиц, имеющих право на получение дохода от доверительного управления.</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D91BEF" w:rsidRPr="009A37CE" w:rsidRDefault="009A37CE" w:rsidP="009A37CE">
      <w:pPr>
        <w:spacing w:after="0" w:line="240" w:lineRule="auto"/>
        <w:ind w:left="360"/>
        <w:jc w:val="both"/>
        <w:rPr>
          <w:rFonts w:cstheme="minorHAnsi"/>
          <w:lang w:eastAsia="ru-RU"/>
        </w:rPr>
      </w:pPr>
      <w:r w:rsidRPr="009A37CE">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sidR="00D91BEF" w:rsidRPr="009A37CE">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9A37CE">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9A37CE">
              <w:rPr>
                <w:rFonts w:asciiTheme="minorHAnsi" w:hAnsiTheme="minorHAnsi" w:cstheme="minorHAnsi"/>
              </w:rPr>
              <w:t>50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9A37CE">
        <w:rPr>
          <w:rFonts w:ascii="Times New Roman" w:hAnsi="Times New Roman"/>
          <w:lang w:eastAsia="ru-RU"/>
        </w:rPr>
        <w:t>7</w:t>
      </w:r>
      <w:r w:rsidR="009A37CE" w:rsidRPr="001347DB">
        <w:rPr>
          <w:rFonts w:ascii="Times New Roman" w:hAnsi="Times New Roman"/>
          <w:lang w:eastAsia="ru-RU"/>
        </w:rPr>
        <w:t>00</w:t>
      </w:r>
      <w:r w:rsidR="009A37CE">
        <w:rPr>
          <w:rFonts w:ascii="Times New Roman" w:hAnsi="Times New Roman"/>
          <w:lang w:eastAsia="ru-RU"/>
        </w:rPr>
        <w:t> </w:t>
      </w:r>
      <w:r w:rsidR="009A37CE" w:rsidRPr="001347DB">
        <w:rPr>
          <w:rFonts w:ascii="Times New Roman" w:hAnsi="Times New Roman"/>
          <w:lang w:eastAsia="ru-RU"/>
        </w:rPr>
        <w:t>000</w:t>
      </w:r>
      <w:r w:rsidR="009A37CE">
        <w:rPr>
          <w:rFonts w:ascii="Times New Roman" w:hAnsi="Times New Roman"/>
          <w:lang w:eastAsia="ru-RU"/>
        </w:rPr>
        <w:t xml:space="preserve"> 000 </w:t>
      </w:r>
      <w:r w:rsidR="009A37CE" w:rsidRPr="001347DB">
        <w:rPr>
          <w:rFonts w:ascii="Times New Roman" w:hAnsi="Times New Roman"/>
          <w:lang w:eastAsia="ru-RU"/>
        </w:rPr>
        <w:t>(С</w:t>
      </w:r>
      <w:r w:rsidR="009A37CE">
        <w:rPr>
          <w:rFonts w:ascii="Times New Roman" w:hAnsi="Times New Roman"/>
          <w:lang w:eastAsia="ru-RU"/>
        </w:rPr>
        <w:t>емьсот миллионов</w:t>
      </w:r>
      <w:r w:rsidR="009A37CE" w:rsidRPr="001347DB">
        <w:rPr>
          <w:rFonts w:ascii="Times New Roman" w:hAnsi="Times New Roman"/>
          <w:lang w:eastAsia="ru-RU"/>
        </w:rPr>
        <w:t>)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9A37CE">
        <w:rPr>
          <w:rFonts w:cstheme="minorHAnsi"/>
        </w:rPr>
        <w:t>6211</w:t>
      </w:r>
      <w:r w:rsidRPr="00C50091">
        <w:rPr>
          <w:rFonts w:cstheme="minorHAnsi"/>
        </w:rPr>
        <w:t xml:space="preserve"> зарегистрированы Банком России </w:t>
      </w:r>
      <w:r w:rsidR="00D91BEF">
        <w:rPr>
          <w:rFonts w:cstheme="minorHAnsi"/>
        </w:rPr>
        <w:t>2</w:t>
      </w:r>
      <w:r w:rsidR="009A37CE">
        <w:rPr>
          <w:rFonts w:cstheme="minorHAnsi"/>
        </w:rPr>
        <w:t>7</w:t>
      </w:r>
      <w:r w:rsidRPr="00C50091">
        <w:rPr>
          <w:rFonts w:cstheme="minorHAnsi"/>
        </w:rPr>
        <w:t>.</w:t>
      </w:r>
      <w:r w:rsidR="009A37CE">
        <w:rPr>
          <w:rFonts w:cstheme="minorHAnsi"/>
        </w:rPr>
        <w:t>05</w:t>
      </w:r>
      <w:r w:rsidRPr="00C50091">
        <w:rPr>
          <w:rFonts w:cstheme="minorHAnsi"/>
        </w:rPr>
        <w:t>.20</w:t>
      </w:r>
      <w:r>
        <w:rPr>
          <w:rFonts w:cstheme="minorHAnsi"/>
        </w:rPr>
        <w:t>2</w:t>
      </w:r>
      <w:r w:rsidR="009A37CE">
        <w:rPr>
          <w:rFonts w:cstheme="minorHAnsi"/>
        </w:rPr>
        <w:t>4</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Pr>
          <w:rFonts w:cstheme="minorHAnsi"/>
        </w:rPr>
        <w:t>в процессе формирования</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9A37CE" w:rsidRPr="00C50091" w:rsidRDefault="009A37CE" w:rsidP="009A37C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9A37CE" w:rsidRPr="00C50091" w:rsidRDefault="009A37CE" w:rsidP="009A37C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E4668"/>
    <w:rsid w:val="00236A0E"/>
    <w:rsid w:val="002B55A1"/>
    <w:rsid w:val="00361247"/>
    <w:rsid w:val="00380887"/>
    <w:rsid w:val="00434E39"/>
    <w:rsid w:val="00457AB3"/>
    <w:rsid w:val="004A5D79"/>
    <w:rsid w:val="005552B9"/>
    <w:rsid w:val="00583A9B"/>
    <w:rsid w:val="00604E77"/>
    <w:rsid w:val="007537E7"/>
    <w:rsid w:val="008153DD"/>
    <w:rsid w:val="00850B5F"/>
    <w:rsid w:val="00903000"/>
    <w:rsid w:val="00990901"/>
    <w:rsid w:val="009A37CE"/>
    <w:rsid w:val="00A012C7"/>
    <w:rsid w:val="00BC1901"/>
    <w:rsid w:val="00BE1601"/>
    <w:rsid w:val="00C321F8"/>
    <w:rsid w:val="00CB7FAD"/>
    <w:rsid w:val="00CD0318"/>
    <w:rsid w:val="00D91BEF"/>
    <w:rsid w:val="00DB7209"/>
    <w:rsid w:val="00E36902"/>
    <w:rsid w:val="00E70E77"/>
    <w:rsid w:val="00EA61EB"/>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75A9"/>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s://www.alfacapital.ru/disclosure/pifs_closed/zpifn_act20/pif-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8</cp:revision>
  <dcterms:created xsi:type="dcterms:W3CDTF">2024-01-16T14:48:00Z</dcterms:created>
  <dcterms:modified xsi:type="dcterms:W3CDTF">2024-07-09T06:07:00Z</dcterms:modified>
</cp:coreProperties>
</file>