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4E2E83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47075">
        <w:rPr>
          <w:rFonts w:cstheme="minorHAnsi"/>
        </w:rPr>
        <w:t>31</w:t>
      </w:r>
      <w:r w:rsidR="00986649" w:rsidRPr="0021055B">
        <w:rPr>
          <w:rFonts w:cstheme="minorHAnsi"/>
        </w:rPr>
        <w:t>.</w:t>
      </w:r>
      <w:r w:rsidR="00401D05">
        <w:rPr>
          <w:rFonts w:cstheme="minorHAnsi"/>
        </w:rPr>
        <w:t>0</w:t>
      </w:r>
      <w:r w:rsidR="00447075">
        <w:rPr>
          <w:rFonts w:cstheme="minorHAnsi"/>
        </w:rPr>
        <w:t>7</w:t>
      </w:r>
      <w:r w:rsidR="00986649" w:rsidRPr="0021055B">
        <w:rPr>
          <w:rFonts w:cstheme="minorHAnsi"/>
        </w:rPr>
        <w:t>.202</w:t>
      </w:r>
      <w:r w:rsidR="00401D0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E665F44"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0CDD">
        <w:t>5</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00F2F0A5" w:rsidR="001833AE" w:rsidRPr="001833AE" w:rsidRDefault="00FF20F1" w:rsidP="001A16FB">
            <w:pPr>
              <w:spacing w:line="276" w:lineRule="auto"/>
              <w:jc w:val="center"/>
              <w:rPr>
                <w:rFonts w:cstheme="minorHAnsi"/>
              </w:rPr>
            </w:pPr>
            <w:r>
              <w:rPr>
                <w:rFonts w:cstheme="minorHAnsi"/>
              </w:rPr>
              <w:t>9</w:t>
            </w:r>
            <w:r w:rsidR="002D4C99">
              <w:rPr>
                <w:rFonts w:cstheme="minorHAnsi"/>
              </w:rPr>
              <w:t>3</w:t>
            </w:r>
            <w:r>
              <w:rPr>
                <w:rFonts w:cstheme="minorHAnsi"/>
              </w:rPr>
              <w:t>,</w:t>
            </w:r>
            <w:r w:rsidR="001A16FB">
              <w:rPr>
                <w:rFonts w:cstheme="minorHAnsi"/>
              </w:rPr>
              <w:t>45</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265D6CF1" w:rsidR="001833AE" w:rsidRPr="001833AE" w:rsidRDefault="00801B63" w:rsidP="001A16FB">
            <w:pPr>
              <w:spacing w:line="276" w:lineRule="auto"/>
              <w:jc w:val="center"/>
              <w:rPr>
                <w:rFonts w:cstheme="minorHAnsi"/>
                <w:lang w:val="en-US"/>
              </w:rPr>
            </w:pPr>
            <w:r>
              <w:rPr>
                <w:rFonts w:cstheme="minorHAnsi"/>
              </w:rPr>
              <w:t>4</w:t>
            </w:r>
            <w:r w:rsidR="001833AE" w:rsidRPr="001833AE">
              <w:rPr>
                <w:rFonts w:cstheme="minorHAnsi"/>
              </w:rPr>
              <w:t>,</w:t>
            </w:r>
            <w:r w:rsidR="001A16FB">
              <w:rPr>
                <w:rFonts w:cstheme="minorHAnsi"/>
              </w:rPr>
              <w:t>66</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00883D4F" w:rsidR="0092668C" w:rsidRDefault="00F22FEF" w:rsidP="001A16FB">
            <w:pPr>
              <w:spacing w:line="276" w:lineRule="auto"/>
              <w:jc w:val="center"/>
              <w:rPr>
                <w:rFonts w:cstheme="minorHAnsi"/>
              </w:rPr>
            </w:pPr>
            <w:r>
              <w:rPr>
                <w:rFonts w:cstheme="minorHAnsi"/>
              </w:rPr>
              <w:t>0</w:t>
            </w:r>
            <w:r w:rsidR="0092668C">
              <w:rPr>
                <w:rFonts w:cstheme="minorHAnsi"/>
              </w:rPr>
              <w:t>,</w:t>
            </w:r>
            <w:r w:rsidR="001A16FB">
              <w:rPr>
                <w:rFonts w:cstheme="minorHAnsi"/>
              </w:rPr>
              <w:t>65</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6DA9298D" w:rsidR="0092668C" w:rsidRDefault="00920CDD" w:rsidP="001A16FB">
            <w:pPr>
              <w:spacing w:line="276" w:lineRule="auto"/>
              <w:jc w:val="center"/>
              <w:rPr>
                <w:rFonts w:cstheme="minorHAnsi"/>
              </w:rPr>
            </w:pPr>
            <w:r>
              <w:rPr>
                <w:rFonts w:cstheme="minorHAnsi"/>
              </w:rPr>
              <w:t>0,</w:t>
            </w:r>
            <w:r w:rsidR="001A16FB">
              <w:rPr>
                <w:rFonts w:cstheme="minorHAnsi"/>
              </w:rPr>
              <w:t>85</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7116F8DF" w:rsidR="006944F9" w:rsidRDefault="006944F9" w:rsidP="00920CDD">
            <w:pPr>
              <w:spacing w:line="276" w:lineRule="auto"/>
              <w:jc w:val="center"/>
              <w:rPr>
                <w:rFonts w:cstheme="minorHAnsi"/>
              </w:rPr>
            </w:pPr>
            <w:r>
              <w:rPr>
                <w:rFonts w:cstheme="minorHAnsi"/>
              </w:rPr>
              <w:t>0,</w:t>
            </w:r>
            <w:r w:rsidR="00920CDD">
              <w:rPr>
                <w:rFonts w:cstheme="minorHAnsi"/>
              </w:rPr>
              <w:t>39</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2E32A2" w:rsidRDefault="004F6824" w:rsidP="00526694">
            <w:pPr>
              <w:pStyle w:val="ConsPlusNormal"/>
              <w:ind w:left="283"/>
              <w:jc w:val="both"/>
              <w:rPr>
                <w:rFonts w:asciiTheme="minorHAnsi" w:hAnsiTheme="minorHAnsi" w:cstheme="minorHAnsi"/>
                <w:lang w:val="en-US"/>
              </w:rPr>
            </w:pPr>
            <w:r w:rsidRPr="002E32A2">
              <w:rPr>
                <w:rFonts w:asciiTheme="minorHAnsi" w:hAnsiTheme="minorHAnsi" w:cstheme="minorHAnsi"/>
              </w:rPr>
              <w:t>Доходность за период, %</w:t>
            </w:r>
            <w:r w:rsidR="000B107A" w:rsidRPr="002E32A2">
              <w:rPr>
                <w:rFonts w:asciiTheme="minorHAnsi" w:hAnsiTheme="minorHAnsi" w:cstheme="minorHAnsi"/>
                <w:lang w:val="en-US"/>
              </w:rPr>
              <w:t xml:space="preserve"> *</w:t>
            </w:r>
          </w:p>
        </w:tc>
      </w:tr>
      <w:tr w:rsidR="009A3C71" w:rsidRPr="00C50091" w14:paraId="277DA56E" w14:textId="77777777" w:rsidTr="00BA421B">
        <w:tblPrEx>
          <w:tblCellMar>
            <w:left w:w="108" w:type="dxa"/>
            <w:right w:w="108" w:type="dxa"/>
          </w:tblCellMar>
        </w:tblPrEx>
        <w:trPr>
          <w:trHeight w:val="1074"/>
        </w:trPr>
        <w:tc>
          <w:tcPr>
            <w:tcW w:w="4365" w:type="dxa"/>
            <w:vMerge w:val="restart"/>
            <w:vAlign w:val="center"/>
          </w:tcPr>
          <w:p w14:paraId="66CBF915" w14:textId="051E7077" w:rsidR="009A3C71" w:rsidRPr="000B107A" w:rsidRDefault="00BA421B" w:rsidP="00526694">
            <w:pPr>
              <w:pStyle w:val="ConsPlusNormal"/>
              <w:jc w:val="center"/>
              <w:rPr>
                <w:rFonts w:asciiTheme="minorHAnsi" w:hAnsiTheme="minorHAnsi" w:cstheme="minorHAnsi"/>
                <w:lang w:val="en-US"/>
              </w:rPr>
            </w:pPr>
            <w:r>
              <w:rPr>
                <w:noProof/>
              </w:rPr>
              <w:drawing>
                <wp:inline distT="0" distB="0" distL="0" distR="0" wp14:anchorId="7BCD309C" wp14:editId="2B78C71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Период</w:t>
            </w:r>
          </w:p>
        </w:tc>
        <w:tc>
          <w:tcPr>
            <w:tcW w:w="1621" w:type="dxa"/>
          </w:tcPr>
          <w:p w14:paraId="665073E8"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Доходность инвестиций</w:t>
            </w:r>
          </w:p>
        </w:tc>
        <w:tc>
          <w:tcPr>
            <w:tcW w:w="1705" w:type="dxa"/>
          </w:tcPr>
          <w:p w14:paraId="09C7CBE0"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Отклонение доходности от</w:t>
            </w:r>
          </w:p>
          <w:p w14:paraId="5BA490B2" w14:textId="77777777" w:rsidR="008D2164" w:rsidRDefault="00142225" w:rsidP="008D2164">
            <w:pPr>
              <w:pStyle w:val="ConsPlusNormal"/>
              <w:ind w:left="283"/>
              <w:rPr>
                <w:rFonts w:asciiTheme="minorHAnsi" w:hAnsiTheme="minorHAnsi" w:cstheme="minorHAnsi"/>
              </w:rPr>
            </w:pPr>
            <w:r w:rsidRPr="002E32A2">
              <w:rPr>
                <w:rFonts w:asciiTheme="minorHAnsi" w:hAnsiTheme="minorHAnsi" w:cstheme="minorHAnsi"/>
              </w:rPr>
              <w:t>и</w:t>
            </w:r>
            <w:r w:rsidR="009A3C71" w:rsidRPr="002E32A2">
              <w:rPr>
                <w:rFonts w:asciiTheme="minorHAnsi" w:hAnsiTheme="minorHAnsi" w:cstheme="minorHAnsi"/>
              </w:rPr>
              <w:t>нфляции</w:t>
            </w:r>
            <w:r w:rsidR="008D2164">
              <w:rPr>
                <w:rFonts w:asciiTheme="minorHAnsi" w:hAnsiTheme="minorHAnsi" w:cstheme="minorHAnsi"/>
              </w:rPr>
              <w:t>*</w:t>
            </w:r>
          </w:p>
          <w:p w14:paraId="377B7C46" w14:textId="0F107CF1" w:rsidR="00142225" w:rsidRPr="002E32A2" w:rsidRDefault="008D2164" w:rsidP="00447075">
            <w:pPr>
              <w:pStyle w:val="ConsPlusNormal"/>
              <w:rPr>
                <w:rFonts w:asciiTheme="minorHAnsi" w:hAnsiTheme="minorHAnsi" w:cstheme="minorHAnsi"/>
              </w:rPr>
            </w:pPr>
            <w:r>
              <w:rPr>
                <w:rFonts w:cstheme="minorHAnsi"/>
                <w:sz w:val="12"/>
                <w:szCs w:val="12"/>
              </w:rPr>
              <w:t xml:space="preserve">*(использованы данные </w:t>
            </w:r>
            <w:r w:rsidR="00317E64">
              <w:rPr>
                <w:rFonts w:cstheme="minorHAnsi"/>
                <w:sz w:val="12"/>
                <w:szCs w:val="12"/>
              </w:rPr>
              <w:t xml:space="preserve">за </w:t>
            </w:r>
            <w:r w:rsidR="00447075">
              <w:rPr>
                <w:rFonts w:cstheme="minorHAnsi"/>
                <w:sz w:val="12"/>
                <w:szCs w:val="12"/>
              </w:rPr>
              <w:t>июнь</w:t>
            </w:r>
            <w:r w:rsidR="00317E64">
              <w:rPr>
                <w:rFonts w:cstheme="minorHAnsi"/>
                <w:sz w:val="12"/>
                <w:szCs w:val="12"/>
              </w:rPr>
              <w:t xml:space="preserve"> 2024</w:t>
            </w:r>
            <w:r>
              <w:rPr>
                <w:rFonts w:cstheme="minorHAnsi"/>
                <w:sz w:val="12"/>
                <w:szCs w:val="12"/>
              </w:rPr>
              <w:t>)</w:t>
            </w:r>
          </w:p>
        </w:tc>
      </w:tr>
      <w:tr w:rsidR="006C082B" w:rsidRPr="00C50091" w14:paraId="163F6D42" w14:textId="77777777" w:rsidTr="00BB163C">
        <w:tc>
          <w:tcPr>
            <w:tcW w:w="4365" w:type="dxa"/>
            <w:vMerge/>
          </w:tcPr>
          <w:p w14:paraId="439EA073" w14:textId="77777777" w:rsidR="006C082B" w:rsidRPr="003B455E" w:rsidRDefault="006C082B" w:rsidP="006C082B">
            <w:pPr>
              <w:rPr>
                <w:rFonts w:cstheme="minorHAnsi"/>
              </w:rPr>
            </w:pPr>
            <w:bookmarkStart w:id="0" w:name="_GoBack" w:colFirst="3" w:colLast="3"/>
          </w:p>
        </w:tc>
        <w:tc>
          <w:tcPr>
            <w:tcW w:w="1380" w:type="dxa"/>
            <w:vAlign w:val="bottom"/>
          </w:tcPr>
          <w:p w14:paraId="377E34DE" w14:textId="77777777" w:rsidR="006C082B" w:rsidRPr="002E32A2" w:rsidRDefault="006C082B" w:rsidP="006C082B">
            <w:pPr>
              <w:pStyle w:val="ConsPlusNormal"/>
              <w:ind w:left="283"/>
              <w:rPr>
                <w:rFonts w:asciiTheme="minorHAnsi" w:hAnsiTheme="minorHAnsi" w:cstheme="minorHAnsi"/>
              </w:rPr>
            </w:pPr>
            <w:r w:rsidRPr="002E32A2">
              <w:rPr>
                <w:rFonts w:asciiTheme="minorHAnsi" w:hAnsiTheme="minorHAnsi" w:cstheme="minorHAnsi"/>
              </w:rPr>
              <w:t>1 месяц</w:t>
            </w:r>
          </w:p>
        </w:tc>
        <w:tc>
          <w:tcPr>
            <w:tcW w:w="1621" w:type="dxa"/>
            <w:vAlign w:val="bottom"/>
          </w:tcPr>
          <w:p w14:paraId="7FBF015C" w14:textId="5E22AE4A" w:rsidR="006C082B" w:rsidRPr="002E32A2" w:rsidRDefault="006C082B" w:rsidP="006C082B">
            <w:pPr>
              <w:pStyle w:val="ConsPlusNormal"/>
              <w:rPr>
                <w:rFonts w:asciiTheme="minorHAnsi" w:hAnsiTheme="minorHAnsi" w:cstheme="minorHAnsi"/>
              </w:rPr>
            </w:pPr>
            <w:r>
              <w:rPr>
                <w:color w:val="000000"/>
                <w:szCs w:val="22"/>
              </w:rPr>
              <w:t>0,96%</w:t>
            </w:r>
          </w:p>
        </w:tc>
        <w:tc>
          <w:tcPr>
            <w:tcW w:w="1705" w:type="dxa"/>
            <w:vAlign w:val="bottom"/>
          </w:tcPr>
          <w:p w14:paraId="5DA42905" w14:textId="593925A9" w:rsidR="006C082B" w:rsidRPr="002E32A2" w:rsidRDefault="006C082B" w:rsidP="006C082B">
            <w:pPr>
              <w:pStyle w:val="ConsPlusNormal"/>
              <w:rPr>
                <w:rFonts w:asciiTheme="minorHAnsi" w:hAnsiTheme="minorHAnsi" w:cstheme="minorHAnsi"/>
              </w:rPr>
            </w:pPr>
            <w:r>
              <w:rPr>
                <w:color w:val="000000"/>
                <w:szCs w:val="22"/>
              </w:rPr>
              <w:t>0,32%</w:t>
            </w:r>
          </w:p>
        </w:tc>
      </w:tr>
      <w:tr w:rsidR="006C082B" w:rsidRPr="00C50091" w14:paraId="734DB2DE" w14:textId="77777777" w:rsidTr="00BB163C">
        <w:tc>
          <w:tcPr>
            <w:tcW w:w="4365" w:type="dxa"/>
            <w:vMerge/>
          </w:tcPr>
          <w:p w14:paraId="1A4F3314" w14:textId="77777777" w:rsidR="006C082B" w:rsidRPr="003B455E" w:rsidRDefault="006C082B" w:rsidP="006C082B">
            <w:pPr>
              <w:rPr>
                <w:rFonts w:cstheme="minorHAnsi"/>
              </w:rPr>
            </w:pPr>
          </w:p>
        </w:tc>
        <w:tc>
          <w:tcPr>
            <w:tcW w:w="1380" w:type="dxa"/>
            <w:vAlign w:val="bottom"/>
          </w:tcPr>
          <w:p w14:paraId="6B673F49" w14:textId="77777777" w:rsidR="006C082B" w:rsidRPr="002E32A2" w:rsidRDefault="006C082B" w:rsidP="006C082B">
            <w:pPr>
              <w:pStyle w:val="ConsPlusNormal"/>
              <w:ind w:left="283"/>
              <w:rPr>
                <w:rFonts w:asciiTheme="minorHAnsi" w:hAnsiTheme="minorHAnsi" w:cstheme="minorHAnsi"/>
              </w:rPr>
            </w:pPr>
            <w:r w:rsidRPr="002E32A2">
              <w:rPr>
                <w:rFonts w:asciiTheme="minorHAnsi" w:hAnsiTheme="minorHAnsi" w:cstheme="minorHAnsi"/>
              </w:rPr>
              <w:t>3 месяца</w:t>
            </w:r>
          </w:p>
        </w:tc>
        <w:tc>
          <w:tcPr>
            <w:tcW w:w="1621" w:type="dxa"/>
            <w:vAlign w:val="bottom"/>
          </w:tcPr>
          <w:p w14:paraId="72F3B61F" w14:textId="5AAC0505" w:rsidR="006C082B" w:rsidRPr="002E32A2" w:rsidRDefault="006C082B" w:rsidP="006C082B">
            <w:pPr>
              <w:pStyle w:val="ConsPlusNormal"/>
              <w:rPr>
                <w:rFonts w:asciiTheme="minorHAnsi" w:hAnsiTheme="minorHAnsi" w:cstheme="minorHAnsi"/>
              </w:rPr>
            </w:pPr>
            <w:r>
              <w:rPr>
                <w:color w:val="000000"/>
                <w:szCs w:val="22"/>
              </w:rPr>
              <w:t>3,34%</w:t>
            </w:r>
          </w:p>
        </w:tc>
        <w:tc>
          <w:tcPr>
            <w:tcW w:w="1705" w:type="dxa"/>
            <w:vAlign w:val="bottom"/>
          </w:tcPr>
          <w:p w14:paraId="0A9EC4F7" w14:textId="7E85F64C" w:rsidR="006C082B" w:rsidRPr="002E32A2" w:rsidRDefault="006C082B" w:rsidP="006C082B">
            <w:pPr>
              <w:pStyle w:val="ConsPlusNormal"/>
              <w:rPr>
                <w:rFonts w:asciiTheme="minorHAnsi" w:hAnsiTheme="minorHAnsi" w:cstheme="minorHAnsi"/>
                <w:lang w:val="en-US"/>
              </w:rPr>
            </w:pPr>
            <w:r>
              <w:rPr>
                <w:color w:val="000000"/>
                <w:szCs w:val="22"/>
              </w:rPr>
              <w:t>1,45%</w:t>
            </w:r>
          </w:p>
        </w:tc>
      </w:tr>
      <w:tr w:rsidR="006C082B" w:rsidRPr="00C50091" w14:paraId="2D189623" w14:textId="77777777" w:rsidTr="00E818EB">
        <w:tc>
          <w:tcPr>
            <w:tcW w:w="4365" w:type="dxa"/>
            <w:vMerge/>
          </w:tcPr>
          <w:p w14:paraId="06D3E770" w14:textId="77777777" w:rsidR="006C082B" w:rsidRPr="003B455E" w:rsidRDefault="006C082B" w:rsidP="006C082B">
            <w:pPr>
              <w:rPr>
                <w:rFonts w:cstheme="minorHAnsi"/>
              </w:rPr>
            </w:pPr>
          </w:p>
        </w:tc>
        <w:tc>
          <w:tcPr>
            <w:tcW w:w="1380" w:type="dxa"/>
            <w:vAlign w:val="bottom"/>
          </w:tcPr>
          <w:p w14:paraId="0A625FAD" w14:textId="77777777" w:rsidR="006C082B" w:rsidRPr="002E32A2" w:rsidRDefault="006C082B" w:rsidP="006C082B">
            <w:pPr>
              <w:pStyle w:val="ConsPlusNormal"/>
              <w:ind w:left="283"/>
              <w:rPr>
                <w:rFonts w:asciiTheme="minorHAnsi" w:hAnsiTheme="minorHAnsi" w:cstheme="minorHAnsi"/>
              </w:rPr>
            </w:pPr>
            <w:r w:rsidRPr="002E32A2">
              <w:rPr>
                <w:rFonts w:asciiTheme="minorHAnsi" w:hAnsiTheme="minorHAnsi" w:cstheme="minorHAnsi"/>
              </w:rPr>
              <w:t>6 месяцев</w:t>
            </w:r>
          </w:p>
        </w:tc>
        <w:tc>
          <w:tcPr>
            <w:tcW w:w="1621" w:type="dxa"/>
            <w:vAlign w:val="bottom"/>
          </w:tcPr>
          <w:p w14:paraId="7AFD14DC" w14:textId="5F0F0664" w:rsidR="006C082B" w:rsidRPr="002E32A2" w:rsidRDefault="006C082B" w:rsidP="006C082B">
            <w:pPr>
              <w:pStyle w:val="ConsPlusNormal"/>
              <w:rPr>
                <w:rFonts w:asciiTheme="minorHAnsi" w:hAnsiTheme="minorHAnsi" w:cstheme="minorHAnsi"/>
              </w:rPr>
            </w:pPr>
            <w:r>
              <w:rPr>
                <w:color w:val="000000"/>
                <w:szCs w:val="22"/>
              </w:rPr>
              <w:t>6,12%</w:t>
            </w:r>
          </w:p>
        </w:tc>
        <w:tc>
          <w:tcPr>
            <w:tcW w:w="1705" w:type="dxa"/>
            <w:vAlign w:val="bottom"/>
          </w:tcPr>
          <w:p w14:paraId="5A1631C8" w14:textId="5A18C206" w:rsidR="006C082B" w:rsidRPr="002E32A2" w:rsidRDefault="006C082B" w:rsidP="006C082B">
            <w:pPr>
              <w:pStyle w:val="ConsPlusNormal"/>
              <w:rPr>
                <w:rFonts w:asciiTheme="minorHAnsi" w:hAnsiTheme="minorHAnsi" w:cstheme="minorHAnsi"/>
                <w:lang w:val="en-US"/>
              </w:rPr>
            </w:pPr>
            <w:r>
              <w:rPr>
                <w:color w:val="000000"/>
                <w:szCs w:val="22"/>
              </w:rPr>
              <w:t>2,25%</w:t>
            </w:r>
          </w:p>
        </w:tc>
      </w:tr>
      <w:tr w:rsidR="006C082B" w:rsidRPr="00C50091" w14:paraId="00022598" w14:textId="77777777" w:rsidTr="00F32691">
        <w:tc>
          <w:tcPr>
            <w:tcW w:w="4365" w:type="dxa"/>
            <w:vMerge/>
          </w:tcPr>
          <w:p w14:paraId="23447C1B" w14:textId="77777777" w:rsidR="006C082B" w:rsidRPr="003B455E" w:rsidRDefault="006C082B" w:rsidP="006C082B">
            <w:pPr>
              <w:rPr>
                <w:rFonts w:cstheme="minorHAnsi"/>
              </w:rPr>
            </w:pPr>
          </w:p>
        </w:tc>
        <w:tc>
          <w:tcPr>
            <w:tcW w:w="1380" w:type="dxa"/>
            <w:vAlign w:val="bottom"/>
          </w:tcPr>
          <w:p w14:paraId="1559E4EA" w14:textId="77777777" w:rsidR="006C082B" w:rsidRPr="002E32A2" w:rsidRDefault="006C082B" w:rsidP="006C082B">
            <w:pPr>
              <w:pStyle w:val="ConsPlusNormal"/>
              <w:ind w:left="283"/>
              <w:rPr>
                <w:rFonts w:asciiTheme="minorHAnsi" w:hAnsiTheme="minorHAnsi" w:cstheme="minorHAnsi"/>
              </w:rPr>
            </w:pPr>
            <w:r w:rsidRPr="002E32A2">
              <w:rPr>
                <w:rFonts w:asciiTheme="minorHAnsi" w:hAnsiTheme="minorHAnsi" w:cstheme="minorHAnsi"/>
              </w:rPr>
              <w:t>1 год</w:t>
            </w:r>
          </w:p>
        </w:tc>
        <w:tc>
          <w:tcPr>
            <w:tcW w:w="1621" w:type="dxa"/>
            <w:vAlign w:val="bottom"/>
          </w:tcPr>
          <w:p w14:paraId="34AF94F7" w14:textId="4E49C7F6" w:rsidR="006C082B" w:rsidRPr="002E32A2" w:rsidRDefault="006C082B" w:rsidP="006C082B">
            <w:pPr>
              <w:pStyle w:val="ConsPlusNormal"/>
              <w:rPr>
                <w:rFonts w:asciiTheme="minorHAnsi" w:hAnsiTheme="minorHAnsi" w:cstheme="minorHAnsi"/>
              </w:rPr>
            </w:pPr>
            <w:r>
              <w:rPr>
                <w:color w:val="000000"/>
                <w:szCs w:val="22"/>
              </w:rPr>
              <w:t>12,22%</w:t>
            </w:r>
          </w:p>
        </w:tc>
        <w:tc>
          <w:tcPr>
            <w:tcW w:w="1705" w:type="dxa"/>
            <w:vAlign w:val="bottom"/>
          </w:tcPr>
          <w:p w14:paraId="4EF284CC" w14:textId="3E6FC9E2" w:rsidR="006C082B" w:rsidRPr="002E32A2" w:rsidRDefault="006C082B" w:rsidP="006C082B">
            <w:pPr>
              <w:pStyle w:val="ConsPlusNormal"/>
              <w:rPr>
                <w:rFonts w:asciiTheme="minorHAnsi" w:hAnsiTheme="minorHAnsi" w:cstheme="minorHAnsi"/>
                <w:lang w:val="en-US"/>
              </w:rPr>
            </w:pPr>
            <w:r>
              <w:rPr>
                <w:color w:val="000000"/>
                <w:szCs w:val="22"/>
              </w:rPr>
              <w:t>3,64%</w:t>
            </w:r>
          </w:p>
        </w:tc>
      </w:tr>
      <w:bookmarkEnd w:id="0"/>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3 года</w:t>
            </w:r>
          </w:p>
        </w:tc>
        <w:tc>
          <w:tcPr>
            <w:tcW w:w="1621" w:type="dxa"/>
            <w:vAlign w:val="bottom"/>
          </w:tcPr>
          <w:p w14:paraId="2E854221" w14:textId="2ED7FD31"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4946C1EE" w14:textId="36B211C9"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5 лет</w:t>
            </w:r>
          </w:p>
        </w:tc>
        <w:tc>
          <w:tcPr>
            <w:tcW w:w="1621" w:type="dxa"/>
            <w:vAlign w:val="bottom"/>
          </w:tcPr>
          <w:p w14:paraId="0B6591EC" w14:textId="6CE14822"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529BB3CB" w14:textId="68612016"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bl>
    <w:p w14:paraId="43D12EE5" w14:textId="537A3FFA"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w:t>
      </w:r>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13DEACDF" w:rsidR="007A0DCF" w:rsidRPr="00C50091" w:rsidRDefault="007E4067" w:rsidP="001A16F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A16FB" w:rsidRPr="001A16FB">
        <w:rPr>
          <w:rFonts w:cstheme="minorHAnsi"/>
        </w:rPr>
        <w:t>224 118,02</w:t>
      </w:r>
      <w:r w:rsidR="007D170F" w:rsidRPr="007D170F">
        <w:rPr>
          <w:rFonts w:cstheme="minorHAnsi"/>
        </w:rPr>
        <w:t xml:space="preserve"> </w:t>
      </w:r>
      <w:r w:rsidRPr="00C50091">
        <w:rPr>
          <w:rFonts w:cstheme="minorHAnsi"/>
        </w:rPr>
        <w:t>рублей.</w:t>
      </w:r>
    </w:p>
    <w:p w14:paraId="2FE68D87" w14:textId="52BBD8F8" w:rsidR="007A0DCF" w:rsidRPr="00C50091" w:rsidRDefault="007A0DCF" w:rsidP="001A16F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A16FB" w:rsidRPr="001A16FB">
        <w:rPr>
          <w:rFonts w:cstheme="minorHAnsi"/>
        </w:rPr>
        <w:t>624</w:t>
      </w:r>
      <w:r w:rsidR="001A16FB">
        <w:rPr>
          <w:rFonts w:cstheme="minorHAnsi"/>
        </w:rPr>
        <w:t> </w:t>
      </w:r>
      <w:r w:rsidR="001A16FB" w:rsidRPr="001A16FB">
        <w:rPr>
          <w:rFonts w:cstheme="minorHAnsi"/>
        </w:rPr>
        <w:t>616</w:t>
      </w:r>
      <w:r w:rsidR="001A16FB">
        <w:rPr>
          <w:rFonts w:cstheme="minorHAnsi"/>
        </w:rPr>
        <w:t xml:space="preserve"> </w:t>
      </w:r>
      <w:r w:rsidR="001A16FB" w:rsidRPr="001A16FB">
        <w:rPr>
          <w:rFonts w:cstheme="minorHAnsi"/>
        </w:rPr>
        <w:t>178,68</w:t>
      </w:r>
      <w:r w:rsidR="007D170F" w:rsidRPr="007D170F">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82A82"/>
    <w:rsid w:val="000B107A"/>
    <w:rsid w:val="000C2A9D"/>
    <w:rsid w:val="000D7908"/>
    <w:rsid w:val="000F0999"/>
    <w:rsid w:val="00102B2B"/>
    <w:rsid w:val="001161C0"/>
    <w:rsid w:val="00120200"/>
    <w:rsid w:val="001335B3"/>
    <w:rsid w:val="001342A8"/>
    <w:rsid w:val="00142225"/>
    <w:rsid w:val="001743E3"/>
    <w:rsid w:val="001833AE"/>
    <w:rsid w:val="001858EA"/>
    <w:rsid w:val="0019098C"/>
    <w:rsid w:val="001A16FB"/>
    <w:rsid w:val="001C00B2"/>
    <w:rsid w:val="001C703D"/>
    <w:rsid w:val="001E0BFB"/>
    <w:rsid w:val="001F20E5"/>
    <w:rsid w:val="001F3FB3"/>
    <w:rsid w:val="0021055B"/>
    <w:rsid w:val="00220CAA"/>
    <w:rsid w:val="00237C30"/>
    <w:rsid w:val="00246951"/>
    <w:rsid w:val="00250632"/>
    <w:rsid w:val="00260F4F"/>
    <w:rsid w:val="00267F9B"/>
    <w:rsid w:val="00286F16"/>
    <w:rsid w:val="002D4C99"/>
    <w:rsid w:val="002E02FF"/>
    <w:rsid w:val="002E3259"/>
    <w:rsid w:val="002E32A2"/>
    <w:rsid w:val="002E73E3"/>
    <w:rsid w:val="00317E64"/>
    <w:rsid w:val="003519F5"/>
    <w:rsid w:val="00374E3A"/>
    <w:rsid w:val="00386A82"/>
    <w:rsid w:val="003B455E"/>
    <w:rsid w:val="003E687D"/>
    <w:rsid w:val="003F6D2F"/>
    <w:rsid w:val="00401D05"/>
    <w:rsid w:val="00431512"/>
    <w:rsid w:val="00447075"/>
    <w:rsid w:val="004662CA"/>
    <w:rsid w:val="004C5035"/>
    <w:rsid w:val="004D02F5"/>
    <w:rsid w:val="004E6208"/>
    <w:rsid w:val="004F5C76"/>
    <w:rsid w:val="004F6824"/>
    <w:rsid w:val="004F7B5D"/>
    <w:rsid w:val="005168EE"/>
    <w:rsid w:val="0053050D"/>
    <w:rsid w:val="0055016C"/>
    <w:rsid w:val="00551639"/>
    <w:rsid w:val="00553B14"/>
    <w:rsid w:val="00584830"/>
    <w:rsid w:val="005907D9"/>
    <w:rsid w:val="005953EA"/>
    <w:rsid w:val="005C508D"/>
    <w:rsid w:val="005E2EAC"/>
    <w:rsid w:val="00600531"/>
    <w:rsid w:val="00634868"/>
    <w:rsid w:val="00684A02"/>
    <w:rsid w:val="00694215"/>
    <w:rsid w:val="006944F9"/>
    <w:rsid w:val="006961D3"/>
    <w:rsid w:val="006B54F9"/>
    <w:rsid w:val="006C082B"/>
    <w:rsid w:val="00701135"/>
    <w:rsid w:val="0072661E"/>
    <w:rsid w:val="00747AD6"/>
    <w:rsid w:val="007A0DCF"/>
    <w:rsid w:val="007A7A2D"/>
    <w:rsid w:val="007C511F"/>
    <w:rsid w:val="007D170F"/>
    <w:rsid w:val="007E1692"/>
    <w:rsid w:val="007E4067"/>
    <w:rsid w:val="00801B63"/>
    <w:rsid w:val="00813496"/>
    <w:rsid w:val="008209B0"/>
    <w:rsid w:val="008729A4"/>
    <w:rsid w:val="00876ABD"/>
    <w:rsid w:val="008829F4"/>
    <w:rsid w:val="00882C92"/>
    <w:rsid w:val="00887B54"/>
    <w:rsid w:val="008B4219"/>
    <w:rsid w:val="008C69EC"/>
    <w:rsid w:val="008D2164"/>
    <w:rsid w:val="008E17F1"/>
    <w:rsid w:val="008F2A54"/>
    <w:rsid w:val="00912E77"/>
    <w:rsid w:val="00920CDD"/>
    <w:rsid w:val="00925086"/>
    <w:rsid w:val="0092668C"/>
    <w:rsid w:val="0094540C"/>
    <w:rsid w:val="00970821"/>
    <w:rsid w:val="00986649"/>
    <w:rsid w:val="0099110E"/>
    <w:rsid w:val="009A3C71"/>
    <w:rsid w:val="009D20F1"/>
    <w:rsid w:val="009D5F29"/>
    <w:rsid w:val="009F0A7D"/>
    <w:rsid w:val="00A17DE6"/>
    <w:rsid w:val="00A23BDE"/>
    <w:rsid w:val="00A23F0F"/>
    <w:rsid w:val="00A34267"/>
    <w:rsid w:val="00A83FAF"/>
    <w:rsid w:val="00AA1555"/>
    <w:rsid w:val="00AA2F5E"/>
    <w:rsid w:val="00AC2A9A"/>
    <w:rsid w:val="00AD2AFD"/>
    <w:rsid w:val="00AF0868"/>
    <w:rsid w:val="00AF717E"/>
    <w:rsid w:val="00B012BD"/>
    <w:rsid w:val="00B21F9D"/>
    <w:rsid w:val="00B33E6D"/>
    <w:rsid w:val="00B53760"/>
    <w:rsid w:val="00B54044"/>
    <w:rsid w:val="00B57624"/>
    <w:rsid w:val="00B83893"/>
    <w:rsid w:val="00B962DE"/>
    <w:rsid w:val="00BA421B"/>
    <w:rsid w:val="00BF1C71"/>
    <w:rsid w:val="00C45B63"/>
    <w:rsid w:val="00C50091"/>
    <w:rsid w:val="00C75DF9"/>
    <w:rsid w:val="00D12186"/>
    <w:rsid w:val="00DA0098"/>
    <w:rsid w:val="00DB3726"/>
    <w:rsid w:val="00DD5572"/>
    <w:rsid w:val="00DD7E63"/>
    <w:rsid w:val="00E16D3B"/>
    <w:rsid w:val="00E23449"/>
    <w:rsid w:val="00E24E01"/>
    <w:rsid w:val="00E365EB"/>
    <w:rsid w:val="00E4575A"/>
    <w:rsid w:val="00E66B06"/>
    <w:rsid w:val="00E73091"/>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5187263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0.12040245399943525</c:v>
                </c:pt>
                <c:pt idx="1">
                  <c:v>2.7161046078907586E-3</c:v>
                </c:pt>
                <c:pt idx="2">
                  <c:v>-4.5475864346481286E-2</c:v>
                </c:pt>
              </c:numCache>
            </c:numRef>
          </c:val>
          <c:extLst>
            <c:ext xmlns:c16="http://schemas.microsoft.com/office/drawing/2014/chart" uri="{C3380CC4-5D6E-409C-BE32-E72D297353CC}">
              <c16:uniqueId val="{00000000-3BF0-4381-A753-DB5FC35A29DF}"/>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FFB3F-352A-44D8-B8C7-4698E029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1187</Words>
  <Characters>6771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83</cp:revision>
  <cp:lastPrinted>2021-09-07T11:44:00Z</cp:lastPrinted>
  <dcterms:created xsi:type="dcterms:W3CDTF">2021-10-07T10:36:00Z</dcterms:created>
  <dcterms:modified xsi:type="dcterms:W3CDTF">2024-08-08T15:18:00Z</dcterms:modified>
</cp:coreProperties>
</file>