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21F4C">
              <w:rPr>
                <w:b/>
              </w:rPr>
              <w:t>30.08.2024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7D7D36">
              <w:t>3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2E6E56" w:rsidRDefault="00A94B71" w:rsidP="003174F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100,000</w:t>
                  </w:r>
                </w:p>
                <w:p w:rsidR="003174FD" w:rsidRPr="00460B90" w:rsidRDefault="003174FD" w:rsidP="003174FD"/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Pr="006A381A" w:rsidRDefault="003F501F" w:rsidP="006A381A">
                  <w:pPr>
                    <w:jc w:val="center"/>
                    <w:rPr>
                      <w:lang w:val="en-US"/>
                    </w:rPr>
                  </w:pPr>
                  <w:r>
                    <w:t>0,00</w:t>
                  </w:r>
                  <w:r w:rsidR="00A94B71">
                    <w:rPr>
                      <w:lang w:val="en-US"/>
                    </w:rPr>
                    <w:t>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DC7C1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5620041" wp14:editId="2FB3884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02F8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02F8A" w:rsidRPr="00602F8A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8,0%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15,8%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6,6%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</w:tr>
            <w:bookmarkEnd w:id="0"/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D954A9">
              <w:rPr>
                <w:b/>
              </w:rPr>
              <w:t>125,43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5C63DD">
              <w:rPr>
                <w:b/>
              </w:rPr>
              <w:t>78 404 600 083,25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0356AF">
                          <w:rPr>
                            <w:b/>
                          </w:rPr>
                          <w:t>35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0356AF">
                          <w:rPr>
                            <w:b/>
                          </w:rPr>
                          <w:t>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9B2E32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  <w:p w:rsidR="00602F8A" w:rsidRPr="006D4758" w:rsidRDefault="00602F8A" w:rsidP="006D4758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D1E3A"/>
    <w:rsid w:val="002D7615"/>
    <w:rsid w:val="002E1073"/>
    <w:rsid w:val="002E6E56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5E68"/>
    <w:rsid w:val="00802D4A"/>
    <w:rsid w:val="00815CD4"/>
    <w:rsid w:val="00830949"/>
    <w:rsid w:val="008550A1"/>
    <w:rsid w:val="008764D8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719C5"/>
    <w:rsid w:val="00984B27"/>
    <w:rsid w:val="00985436"/>
    <w:rsid w:val="009859A6"/>
    <w:rsid w:val="00987CA3"/>
    <w:rsid w:val="009B2E32"/>
    <w:rsid w:val="009C340B"/>
    <w:rsid w:val="009C4836"/>
    <w:rsid w:val="00A003E1"/>
    <w:rsid w:val="00A02398"/>
    <w:rsid w:val="00A0773D"/>
    <w:rsid w:val="00A133DC"/>
    <w:rsid w:val="00A37A1D"/>
    <w:rsid w:val="00A41760"/>
    <w:rsid w:val="00A42CFA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F3CF1"/>
    <w:rsid w:val="00F044D0"/>
    <w:rsid w:val="00F17E50"/>
    <w:rsid w:val="00F27856"/>
    <w:rsid w:val="00F458E7"/>
    <w:rsid w:val="00F50D08"/>
    <w:rsid w:val="00F5487B"/>
    <w:rsid w:val="00F561E3"/>
    <w:rsid w:val="00F77FCD"/>
    <w:rsid w:val="00FA2455"/>
    <w:rsid w:val="00FB0F11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ДОХОДНОСТЬ!$O$7:$O$8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ДОХОДНОСТЬ!$P$7:$P$8</c:f>
              <c:numCache>
                <c:formatCode>0.0%</c:formatCode>
                <c:ptCount val="2"/>
                <c:pt idx="0">
                  <c:v>3.2530032750151872E-2</c:v>
                </c:pt>
                <c:pt idx="1">
                  <c:v>9.5793786076783016E-2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C-442E-B3EC-B168C7ADA7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00BF-C01D-420F-8A83-3A0B07D7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136</cp:revision>
  <dcterms:created xsi:type="dcterms:W3CDTF">2023-03-22T08:29:00Z</dcterms:created>
  <dcterms:modified xsi:type="dcterms:W3CDTF">2024-09-03T14:28:00Z</dcterms:modified>
</cp:coreProperties>
</file>