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5669F9">
        <w:rPr>
          <w:rFonts w:cstheme="minorHAnsi"/>
        </w:rPr>
        <w:t>3</w:t>
      </w:r>
      <w:r w:rsidR="00F71A39">
        <w:rPr>
          <w:rFonts w:cstheme="minorHAnsi"/>
        </w:rPr>
        <w:t>0</w:t>
      </w:r>
      <w:r w:rsidRPr="0021055B">
        <w:rPr>
          <w:rFonts w:cstheme="minorHAnsi"/>
        </w:rPr>
        <w:t>.</w:t>
      </w:r>
      <w:r w:rsidR="00E13088">
        <w:rPr>
          <w:rFonts w:cstheme="minorHAnsi"/>
        </w:rPr>
        <w:t>0</w:t>
      </w:r>
      <w:r w:rsidR="00AF0316" w:rsidRPr="00AF0316">
        <w:rPr>
          <w:rFonts w:cstheme="minorHAnsi"/>
        </w:rPr>
        <w:t>9</w:t>
      </w:r>
      <w:r w:rsidRPr="0021055B">
        <w:rPr>
          <w:rFonts w:cstheme="minorHAnsi"/>
        </w:rPr>
        <w:t>.202</w:t>
      </w:r>
      <w:r w:rsidR="00E13088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8C70D8">
        <w:t>39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1833AE" w:rsidRDefault="00D2441D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3E26CF" w:rsidRDefault="00D2441D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75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8C70D8">
              <w:rPr>
                <w:rFonts w:cstheme="minorHAnsi"/>
              </w:rPr>
              <w:t>76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CC0FD4" w:rsidP="008C70D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8C70D8">
              <w:rPr>
                <w:rFonts w:cstheme="minorHAnsi"/>
              </w:rPr>
              <w:t>86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45E0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845E07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1C3AA8" wp14:editId="7FCF0BFE">
                  <wp:extent cx="2333625" cy="22479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AF0316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AF0316" w:rsidRPr="008C70D8">
              <w:rPr>
                <w:rFonts w:asciiTheme="minorHAnsi" w:hAnsiTheme="minorHAnsi" w:cstheme="minorHAnsi"/>
                <w:sz w:val="12"/>
                <w:szCs w:val="12"/>
              </w:rPr>
              <w:t>август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8C70D8" w:rsidRPr="00C50091" w:rsidTr="003865F3">
        <w:trPr>
          <w:trHeight w:val="359"/>
        </w:trPr>
        <w:tc>
          <w:tcPr>
            <w:tcW w:w="4365" w:type="dxa"/>
            <w:vMerge/>
          </w:tcPr>
          <w:p w:rsidR="008C70D8" w:rsidRPr="003B455E" w:rsidRDefault="008C70D8" w:rsidP="008C70D8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8C70D8" w:rsidRPr="00E14187" w:rsidRDefault="008C70D8" w:rsidP="008C70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8C70D8" w:rsidRDefault="008C70D8" w:rsidP="008C70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-0,46%</w:t>
            </w:r>
          </w:p>
        </w:tc>
        <w:tc>
          <w:tcPr>
            <w:tcW w:w="1705" w:type="dxa"/>
            <w:vAlign w:val="bottom"/>
          </w:tcPr>
          <w:p w:rsidR="008C70D8" w:rsidRDefault="008C70D8" w:rsidP="008C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-0,72%</w:t>
            </w:r>
          </w:p>
        </w:tc>
      </w:tr>
      <w:tr w:rsidR="008C70D8" w:rsidRPr="00C50091" w:rsidTr="003865F3">
        <w:tc>
          <w:tcPr>
            <w:tcW w:w="4365" w:type="dxa"/>
            <w:vMerge/>
          </w:tcPr>
          <w:p w:rsidR="008C70D8" w:rsidRPr="003B455E" w:rsidRDefault="008C70D8" w:rsidP="008C70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C70D8" w:rsidRPr="00E14187" w:rsidRDefault="008C70D8" w:rsidP="008C70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8C70D8" w:rsidRDefault="008C70D8" w:rsidP="008C70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-0,91%</w:t>
            </w:r>
          </w:p>
        </w:tc>
        <w:tc>
          <w:tcPr>
            <w:tcW w:w="1705" w:type="dxa"/>
            <w:vAlign w:val="bottom"/>
          </w:tcPr>
          <w:p w:rsidR="008C70D8" w:rsidRDefault="008C70D8" w:rsidP="008C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-2,07%</w:t>
            </w:r>
          </w:p>
        </w:tc>
      </w:tr>
      <w:tr w:rsidR="008C70D8" w:rsidRPr="00C50091" w:rsidTr="008C4FD4">
        <w:tc>
          <w:tcPr>
            <w:tcW w:w="4365" w:type="dxa"/>
            <w:vMerge/>
          </w:tcPr>
          <w:p w:rsidR="008C70D8" w:rsidRPr="003B455E" w:rsidRDefault="008C70D8" w:rsidP="008C70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C70D8" w:rsidRPr="00E14187" w:rsidRDefault="008C70D8" w:rsidP="008C70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8C70D8" w:rsidRDefault="008C70D8" w:rsidP="008C70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17,12%</w:t>
            </w:r>
          </w:p>
        </w:tc>
        <w:tc>
          <w:tcPr>
            <w:tcW w:w="1705" w:type="dxa"/>
            <w:vAlign w:val="bottom"/>
          </w:tcPr>
          <w:p w:rsidR="008C70D8" w:rsidRDefault="008C70D8" w:rsidP="008C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14,30%</w:t>
            </w:r>
          </w:p>
        </w:tc>
      </w:tr>
      <w:tr w:rsidR="008C70D8" w:rsidRPr="00C50091" w:rsidTr="00742E82">
        <w:tc>
          <w:tcPr>
            <w:tcW w:w="4365" w:type="dxa"/>
            <w:vMerge/>
          </w:tcPr>
          <w:p w:rsidR="008C70D8" w:rsidRPr="003B455E" w:rsidRDefault="008C70D8" w:rsidP="008C70D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8C70D8" w:rsidRPr="00E14187" w:rsidRDefault="008C70D8" w:rsidP="008C70D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8C70D8" w:rsidRDefault="008C70D8" w:rsidP="008C70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18,72%</w:t>
            </w:r>
          </w:p>
        </w:tc>
        <w:tc>
          <w:tcPr>
            <w:tcW w:w="1705" w:type="dxa"/>
            <w:vAlign w:val="bottom"/>
          </w:tcPr>
          <w:p w:rsidR="008C70D8" w:rsidRDefault="008C70D8" w:rsidP="008C70D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10,56%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8C70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8C70D8" w:rsidRPr="008C70D8">
        <w:rPr>
          <w:rFonts w:cstheme="minorHAnsi"/>
        </w:rPr>
        <w:t>125 838,04</w:t>
      </w:r>
      <w:r w:rsidR="008C70D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8C70D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8C70D8" w:rsidRPr="008C70D8">
        <w:rPr>
          <w:rFonts w:cstheme="minorHAnsi"/>
        </w:rPr>
        <w:t>666</w:t>
      </w:r>
      <w:r w:rsidR="008C70D8">
        <w:rPr>
          <w:rFonts w:cstheme="minorHAnsi"/>
        </w:rPr>
        <w:t> </w:t>
      </w:r>
      <w:r w:rsidR="008C70D8" w:rsidRPr="008C70D8">
        <w:rPr>
          <w:rFonts w:cstheme="minorHAnsi"/>
        </w:rPr>
        <w:t>522</w:t>
      </w:r>
      <w:r w:rsidR="008C70D8">
        <w:rPr>
          <w:rFonts w:cstheme="minorHAnsi"/>
        </w:rPr>
        <w:t xml:space="preserve"> </w:t>
      </w:r>
      <w:r w:rsidR="008C70D8" w:rsidRPr="008C70D8">
        <w:rPr>
          <w:rFonts w:cstheme="minorHAnsi"/>
        </w:rPr>
        <w:t>431,66</w:t>
      </w:r>
      <w:r w:rsidR="008C70D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F251E"/>
    <w:rsid w:val="000F6BCC"/>
    <w:rsid w:val="00113645"/>
    <w:rsid w:val="00120E0B"/>
    <w:rsid w:val="001B1C29"/>
    <w:rsid w:val="00236A0E"/>
    <w:rsid w:val="002D0BDC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C6A04"/>
    <w:rsid w:val="00722986"/>
    <w:rsid w:val="007C0246"/>
    <w:rsid w:val="007F1949"/>
    <w:rsid w:val="00832FB4"/>
    <w:rsid w:val="00845E07"/>
    <w:rsid w:val="00866C7B"/>
    <w:rsid w:val="008C70D8"/>
    <w:rsid w:val="00993CE2"/>
    <w:rsid w:val="009F3BD9"/>
    <w:rsid w:val="009F463F"/>
    <w:rsid w:val="00A012C7"/>
    <w:rsid w:val="00A27194"/>
    <w:rsid w:val="00A35789"/>
    <w:rsid w:val="00A64BD0"/>
    <w:rsid w:val="00A973A9"/>
    <w:rsid w:val="00AC1E6F"/>
    <w:rsid w:val="00AF0316"/>
    <w:rsid w:val="00B64E5D"/>
    <w:rsid w:val="00BE7EA8"/>
    <w:rsid w:val="00C2477D"/>
    <w:rsid w:val="00CC0FD4"/>
    <w:rsid w:val="00CC71EA"/>
    <w:rsid w:val="00CD6B91"/>
    <w:rsid w:val="00CE45CD"/>
    <w:rsid w:val="00CE6298"/>
    <w:rsid w:val="00D0187A"/>
    <w:rsid w:val="00D2441D"/>
    <w:rsid w:val="00D9759C"/>
    <w:rsid w:val="00DE1186"/>
    <w:rsid w:val="00E13088"/>
    <w:rsid w:val="00E14187"/>
    <w:rsid w:val="00E27AA5"/>
    <w:rsid w:val="00E36902"/>
    <w:rsid w:val="00E45A5C"/>
    <w:rsid w:val="00E84204"/>
    <w:rsid w:val="00EF00CE"/>
    <w:rsid w:val="00F23532"/>
    <w:rsid w:val="00F71A39"/>
    <w:rsid w:val="00F72FBE"/>
    <w:rsid w:val="00FA7493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D7FA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053-850F-F7FE60DA2E68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053-850F-F7FE60DA2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General</c:formatCode>
                <c:ptCount val="5"/>
                <c:pt idx="0" formatCode="0.0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3-4053-850F-F7FE60DA2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52</cp:revision>
  <dcterms:created xsi:type="dcterms:W3CDTF">2022-11-29T07:18:00Z</dcterms:created>
  <dcterms:modified xsi:type="dcterms:W3CDTF">2024-10-08T12:32:00Z</dcterms:modified>
</cp:coreProperties>
</file>