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4F2B54">
              <w:rPr>
                <w:b/>
              </w:rPr>
              <w:t>30.09.2024</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44251" w:rsidP="00344251">
            <w:pPr>
              <w:pStyle w:val="1"/>
              <w:numPr>
                <w:ilvl w:val="0"/>
                <w:numId w:val="14"/>
              </w:numPr>
            </w:pPr>
            <w:r>
              <w:t>Пассивное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9949CD">
              <w:t>20</w:t>
            </w:r>
            <w:r w:rsidR="0030236A">
              <w:t xml:space="preserve"> объектов</w:t>
            </w:r>
            <w:r>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344251" w:rsidRPr="00BC0CE6" w:rsidTr="00007CD5">
              <w:trPr>
                <w:cnfStyle w:val="100000000000" w:firstRow="1" w:lastRow="0" w:firstColumn="0" w:lastColumn="0" w:oddVBand="0" w:evenVBand="0" w:oddHBand="0" w:evenHBand="0" w:firstRowFirstColumn="0" w:firstRowLastColumn="0" w:lastRowFirstColumn="0" w:lastRowLastColumn="0"/>
                <w:trHeight w:val="437"/>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eastAsia="ru-RU"/>
                    </w:rPr>
                    <w:t>Доля от активов, %</w:t>
                  </w:r>
                </w:p>
              </w:tc>
            </w:tr>
            <w:tr w:rsidR="009949CD"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Акции МКПАО "ТКС Холдинг"</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RU000A107UL4</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8,83</w:t>
                  </w:r>
                </w:p>
              </w:tc>
            </w:tr>
            <w:tr w:rsidR="009949CD" w:rsidRPr="00BC0CE6" w:rsidTr="00007CD5">
              <w:trPr>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Акции ПАО "Полюс", гос.рег.№1-01-55192-E</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RU000A0JNAA8</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8,30</w:t>
                  </w:r>
                </w:p>
              </w:tc>
            </w:tr>
            <w:tr w:rsidR="009949CD"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Акции ПАО "ЛУКОЙЛ", гос.рег.№1-01-00077-A</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RU0009024277</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8,17</w:t>
                  </w:r>
                </w:p>
              </w:tc>
            </w:tr>
            <w:tr w:rsidR="009949CD" w:rsidRPr="00BC0CE6" w:rsidTr="00007CD5">
              <w:trPr>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Акции ПАО "Газпром", гос.рег.№1-02-00028-A</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RU0007661625</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7,67</w:t>
                  </w:r>
                </w:p>
              </w:tc>
            </w:tr>
            <w:tr w:rsidR="009949CD"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9949CD" w:rsidRDefault="009949CD" w:rsidP="009949CD">
                  <w:pPr>
                    <w:rPr>
                      <w:rFonts w:ascii="Montserrat" w:hAnsi="Montserrat" w:cs="Calibri"/>
                      <w:color w:val="000000"/>
                      <w:szCs w:val="16"/>
                    </w:rPr>
                  </w:pPr>
                  <w:r>
                    <w:rPr>
                      <w:rFonts w:ascii="Montserrat" w:hAnsi="Montserrat" w:cs="Calibri"/>
                      <w:color w:val="000000"/>
                      <w:szCs w:val="16"/>
                    </w:rPr>
                    <w:t xml:space="preserve">АДР </w:t>
                  </w:r>
                  <w:proofErr w:type="spellStart"/>
                  <w:r>
                    <w:rPr>
                      <w:rFonts w:ascii="Montserrat" w:hAnsi="Montserrat" w:cs="Calibri"/>
                      <w:color w:val="000000"/>
                      <w:szCs w:val="16"/>
                    </w:rPr>
                    <w:t>Ozon</w:t>
                  </w:r>
                  <w:proofErr w:type="spellEnd"/>
                  <w:r>
                    <w:rPr>
                      <w:rFonts w:ascii="Montserrat" w:hAnsi="Montserrat" w:cs="Calibri"/>
                      <w:color w:val="000000"/>
                      <w:szCs w:val="16"/>
                    </w:rPr>
                    <w:t xml:space="preserve"> </w:t>
                  </w:r>
                  <w:proofErr w:type="spellStart"/>
                  <w:r>
                    <w:rPr>
                      <w:rFonts w:ascii="Montserrat" w:hAnsi="Montserrat" w:cs="Calibri"/>
                      <w:color w:val="000000"/>
                      <w:szCs w:val="16"/>
                    </w:rPr>
                    <w:t>Holdings</w:t>
                  </w:r>
                  <w:proofErr w:type="spellEnd"/>
                  <w:r>
                    <w:rPr>
                      <w:rFonts w:ascii="Montserrat" w:hAnsi="Montserrat" w:cs="Calibri"/>
                      <w:color w:val="000000"/>
                      <w:szCs w:val="16"/>
                    </w:rPr>
                    <w:t xml:space="preserve"> PLC</w:t>
                  </w:r>
                </w:p>
              </w:tc>
              <w:tc>
                <w:tcPr>
                  <w:tcW w:w="882"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US69269L1044</w:t>
                  </w:r>
                </w:p>
              </w:tc>
              <w:tc>
                <w:tcPr>
                  <w:tcW w:w="1105" w:type="pct"/>
                  <w:vAlign w:val="center"/>
                </w:tcPr>
                <w:p w:rsidR="009949CD" w:rsidRDefault="009949CD" w:rsidP="009949CD">
                  <w:pPr>
                    <w:jc w:val="center"/>
                    <w:rPr>
                      <w:rFonts w:ascii="Montserrat" w:hAnsi="Montserrat" w:cs="Calibri"/>
                      <w:color w:val="000000"/>
                      <w:szCs w:val="16"/>
                    </w:rPr>
                  </w:pPr>
                  <w:r>
                    <w:rPr>
                      <w:rFonts w:ascii="Montserrat" w:hAnsi="Montserrat" w:cs="Calibri"/>
                      <w:color w:val="000000"/>
                      <w:szCs w:val="16"/>
                    </w:rPr>
                    <w:t>7,19</w:t>
                  </w:r>
                </w:p>
              </w:tc>
            </w:tr>
          </w:tbl>
          <w:p w:rsidR="00787466" w:rsidRPr="00787466" w:rsidRDefault="00787466" w:rsidP="00787466">
            <w:pPr>
              <w:spacing w:before="120"/>
              <w:jc w:val="both"/>
              <w:rPr>
                <w:rFonts w:cs="Arial"/>
              </w:rPr>
            </w:pPr>
          </w:p>
        </w:tc>
      </w:tr>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7F46FB">
              <w:trPr>
                <w:cnfStyle w:val="100000000000" w:firstRow="1" w:lastRow="0" w:firstColumn="0" w:lastColumn="0" w:oddVBand="0" w:evenVBand="0" w:oddHBand="0" w:evenHBand="0" w:firstRowFirstColumn="0" w:firstRowLastColumn="0" w:lastRowFirstColumn="0" w:lastRowLastColumn="0"/>
                <w:trHeight w:val="397"/>
              </w:trPr>
              <w:tc>
                <w:tcPr>
                  <w:tcW w:w="2146" w:type="pct"/>
                </w:tcPr>
                <w:p w:rsidR="00F06C82" w:rsidRPr="00250C76" w:rsidRDefault="00F06C82" w:rsidP="00F06C82">
                  <w:pPr>
                    <w:jc w:val="center"/>
                  </w:pPr>
                  <w:r w:rsidRPr="00250C76">
                    <w:t>Д</w:t>
                  </w:r>
                  <w:r w:rsidR="00125EF7">
                    <w:t>оходность за календарный год, %</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restart"/>
                  <w:vAlign w:val="center"/>
                </w:tcPr>
                <w:p w:rsidR="00F06C82" w:rsidRPr="00250C76" w:rsidRDefault="00F06C82" w:rsidP="00F06C82">
                  <w:pPr>
                    <w:jc w:val="center"/>
                  </w:pP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7F46FB">
              <w:trPr>
                <w:trHeight w:val="397"/>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F06C82" w:rsidP="00125EF7">
                  <w:pPr>
                    <w:jc w:val="center"/>
                    <w:rPr>
                      <w:b/>
                      <w:color w:val="FFFFFF" w:themeColor="background1"/>
                      <w:sz w:val="14"/>
                    </w:rPr>
                  </w:pPr>
                  <w:r w:rsidRPr="00DE34A7">
                    <w:rPr>
                      <w:b/>
                      <w:color w:val="FFFFFF" w:themeColor="background1"/>
                      <w:sz w:val="14"/>
                    </w:rPr>
                    <w:t>от инфляции</w:t>
                  </w:r>
                  <w:r w:rsidR="00C50C82">
                    <w:rPr>
                      <w:b/>
                      <w:color w:val="FFFFFF" w:themeColor="background1"/>
                      <w:sz w:val="14"/>
                    </w:rPr>
                    <w:t xml:space="preserve"> </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F06C82">
                    <w:rPr>
                      <w:b/>
                      <w:color w:val="FF0000"/>
                      <w:sz w:val="14"/>
                      <w:lang w:val="en-US"/>
                    </w:rPr>
                    <w:t>*</w:t>
                  </w: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месяц</w:t>
                  </w:r>
                </w:p>
              </w:tc>
              <w:tc>
                <w:tcPr>
                  <w:tcW w:w="593" w:type="pct"/>
                  <w:vAlign w:val="center"/>
                </w:tcPr>
                <w:p w:rsidR="00E13775" w:rsidRPr="00125EF7" w:rsidRDefault="00125EF7" w:rsidP="00E13775">
                  <w:pPr>
                    <w:jc w:val="center"/>
                    <w:rPr>
                      <w:rFonts w:ascii="Montserrat" w:hAnsi="Montserrat" w:cs="Calibri"/>
                      <w:color w:val="FF0000"/>
                      <w:szCs w:val="16"/>
                    </w:rPr>
                  </w:pPr>
                  <w:r w:rsidRPr="00125EF7">
                    <w:rPr>
                      <w:rFonts w:ascii="Montserrat" w:hAnsi="Montserrat" w:cs="Calibri"/>
                      <w:color w:val="FF0000"/>
                      <w:szCs w:val="16"/>
                    </w:rPr>
                    <w:t>**</w:t>
                  </w:r>
                </w:p>
              </w:tc>
              <w:tc>
                <w:tcPr>
                  <w:tcW w:w="840" w:type="pct"/>
                  <w:vAlign w:val="center"/>
                </w:tcPr>
                <w:p w:rsidR="00E13775" w:rsidRPr="00125EF7" w:rsidRDefault="00125EF7" w:rsidP="00E13775">
                  <w:pPr>
                    <w:jc w:val="center"/>
                    <w:rPr>
                      <w:rFonts w:ascii="Montserrat" w:hAnsi="Montserrat" w:cs="Calibri"/>
                      <w:color w:val="FF0000"/>
                      <w:szCs w:val="16"/>
                    </w:rPr>
                  </w:pPr>
                  <w:r w:rsidRPr="00125EF7">
                    <w:rPr>
                      <w:rFonts w:ascii="Montserrat" w:hAnsi="Montserrat" w:cs="Calibri"/>
                      <w:color w:val="FF0000"/>
                      <w:szCs w:val="16"/>
                    </w:rPr>
                    <w:t>**</w:t>
                  </w:r>
                </w:p>
              </w:tc>
              <w:tc>
                <w:tcPr>
                  <w:tcW w:w="828" w:type="pct"/>
                  <w:vAlign w:val="center"/>
                </w:tcPr>
                <w:p w:rsidR="00E13775" w:rsidRPr="00125EF7" w:rsidRDefault="00125EF7" w:rsidP="00E13775">
                  <w:pPr>
                    <w:jc w:val="center"/>
                    <w:rPr>
                      <w:rFonts w:ascii="Montserrat" w:hAnsi="Montserrat" w:cs="Calibri"/>
                      <w:color w:val="FF0000"/>
                      <w:szCs w:val="16"/>
                    </w:rPr>
                  </w:pPr>
                  <w:r w:rsidRPr="00125EF7">
                    <w:rPr>
                      <w:rFonts w:ascii="Montserrat" w:hAnsi="Montserrat" w:cs="Calibri"/>
                      <w:color w:val="FF0000"/>
                      <w:szCs w:val="16"/>
                    </w:rPr>
                    <w:t>**</w:t>
                  </w:r>
                </w:p>
              </w:tc>
            </w:tr>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месяца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00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6 месяцев</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7F46FB">
              <w:trPr>
                <w:trHeight w:val="397"/>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9949CD" w:rsidRPr="009949CD">
              <w:rPr>
                <w:b/>
              </w:rPr>
              <w:t>1 001,5069</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9949CD">
            <w:pPr>
              <w:pStyle w:val="1"/>
              <w:numPr>
                <w:ilvl w:val="0"/>
                <w:numId w:val="16"/>
              </w:numPr>
            </w:pPr>
            <w:r w:rsidRPr="00D90DF1">
              <w:t xml:space="preserve">Стоимость чистых активов паевого инвестиционного фонда </w:t>
            </w:r>
            <w:r w:rsidR="009949CD" w:rsidRPr="009949CD">
              <w:rPr>
                <w:b/>
              </w:rPr>
              <w:t>25 538 425,74</w:t>
            </w:r>
            <w:r w:rsidR="009949CD">
              <w:rPr>
                <w:b/>
              </w:rPr>
              <w:t xml:space="preserve"> </w:t>
            </w:r>
            <w:r w:rsidR="00344251" w:rsidRPr="009949CD">
              <w:rPr>
                <w:b/>
              </w:rPr>
              <w:t>руб</w:t>
            </w:r>
            <w:r w:rsidR="001A7B28" w:rsidRPr="009949CD">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w:t>
            </w:r>
            <w:r w:rsidR="00765901">
              <w:t>)</w:t>
            </w:r>
            <w:r w:rsidR="00765901">
              <w:t xml:space="preserve"> </w:t>
            </w:r>
            <w:r w:rsidR="00765901">
              <w:t xml:space="preserve">и Индекса </w:t>
            </w:r>
            <w:proofErr w:type="spellStart"/>
            <w:r w:rsidR="00765901">
              <w:t>МосБир</w:t>
            </w:r>
            <w:r w:rsidR="00765901">
              <w:t>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 xml:space="preserve">Лицо, осуществляющее расчет </w:t>
            </w:r>
            <w:bookmarkStart w:id="0" w:name="_GoBack"/>
            <w:bookmarkEnd w:id="0"/>
            <w:r>
              <w:t>Индекса - 1</w:t>
            </w:r>
            <w:r>
              <w:t>: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lastRenderedPageBreak/>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344251"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r>
              <w:t xml:space="preserve"> </w:t>
            </w:r>
            <w:r w:rsidR="00125EF7">
              <w:t xml:space="preserve">                                  </w:t>
            </w: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9"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0"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1"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2"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3"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125EF7" w:rsidRDefault="00CA7FB1" w:rsidP="00125EF7">
                  <w:pPr>
                    <w:rPr>
                      <w:sz w:val="14"/>
                    </w:rPr>
                  </w:pPr>
                  <w:r w:rsidRPr="00F94448">
                    <w:rPr>
                      <w:color w:val="EF3124" w:themeColor="accent1"/>
                      <w:sz w:val="14"/>
                    </w:rPr>
                    <w:t>*</w:t>
                  </w:r>
                  <w:r w:rsidR="00FC657D" w:rsidRPr="00F94448">
                    <w:rPr>
                      <w:sz w:val="14"/>
                    </w:rPr>
                    <w:t xml:space="preserve"> </w:t>
                  </w:r>
                  <w:r w:rsidR="00125EF7" w:rsidRPr="00125EF7">
                    <w:rPr>
                      <w:sz w:val="14"/>
                    </w:rPr>
                    <w:t xml:space="preserve">Индекс </w:t>
                  </w:r>
                  <w:proofErr w:type="spellStart"/>
                  <w:r w:rsidR="00125EF7" w:rsidRPr="00125EF7">
                    <w:rPr>
                      <w:sz w:val="14"/>
                    </w:rPr>
                    <w:t>МосБиржи</w:t>
                  </w:r>
                  <w:proofErr w:type="spellEnd"/>
                  <w:r w:rsidR="00125EF7" w:rsidRPr="00125EF7">
                    <w:rPr>
                      <w:sz w:val="14"/>
                    </w:rPr>
                    <w:t xml:space="preserve"> полной доходности «брутто» (MCFTR)</w:t>
                  </w:r>
                  <w:r w:rsidR="00125EF7">
                    <w:rPr>
                      <w:sz w:val="14"/>
                    </w:rPr>
                    <w:t>.</w:t>
                  </w:r>
                </w:p>
                <w:p w:rsidR="007F46FB" w:rsidRPr="00105D31" w:rsidRDefault="007F46FB" w:rsidP="00125EF7">
                  <w:pPr>
                    <w:rPr>
                      <w:sz w:val="14"/>
                    </w:rPr>
                  </w:pPr>
                  <w:r w:rsidRPr="007F46FB">
                    <w:rPr>
                      <w:color w:val="FF0000"/>
                      <w:sz w:val="14"/>
                    </w:rPr>
                    <w:t xml:space="preserve">** </w:t>
                  </w:r>
                  <w:r w:rsidRPr="005E3DE8">
                    <w:rPr>
                      <w:sz w:val="14"/>
                    </w:rPr>
                    <w:t>Данные не указываются по причине невозможности определения показателя по состоянию на отчетную дат</w:t>
                  </w:r>
                  <w:r>
                    <w:rPr>
                      <w:sz w:val="14"/>
                    </w:rPr>
                    <w:t>у.</w:t>
                  </w:r>
                </w:p>
                <w:p w:rsidR="00C50C82" w:rsidRPr="00105D31" w:rsidRDefault="00C50C82" w:rsidP="00283A03">
                  <w:pPr>
                    <w:rPr>
                      <w:sz w:val="14"/>
                    </w:rPr>
                  </w:pP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350CC8">
      <w:headerReference w:type="default" r:id="rId14"/>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9"/>
  <w:defaultTableStyle w:val="a3"/>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7CD5"/>
    <w:rsid w:val="00025E51"/>
    <w:rsid w:val="00030C98"/>
    <w:rsid w:val="00031217"/>
    <w:rsid w:val="0004345E"/>
    <w:rsid w:val="00050665"/>
    <w:rsid w:val="00063091"/>
    <w:rsid w:val="00090FB7"/>
    <w:rsid w:val="00092A57"/>
    <w:rsid w:val="00092C3D"/>
    <w:rsid w:val="00096219"/>
    <w:rsid w:val="000E2C0D"/>
    <w:rsid w:val="000F5A07"/>
    <w:rsid w:val="00100D52"/>
    <w:rsid w:val="0010434A"/>
    <w:rsid w:val="00105D31"/>
    <w:rsid w:val="0011756F"/>
    <w:rsid w:val="00122B90"/>
    <w:rsid w:val="00125EF7"/>
    <w:rsid w:val="00126067"/>
    <w:rsid w:val="00145F20"/>
    <w:rsid w:val="00157A34"/>
    <w:rsid w:val="0016468A"/>
    <w:rsid w:val="00167904"/>
    <w:rsid w:val="0019376B"/>
    <w:rsid w:val="001A3F7F"/>
    <w:rsid w:val="001A590D"/>
    <w:rsid w:val="001A693C"/>
    <w:rsid w:val="001A7B28"/>
    <w:rsid w:val="001B067C"/>
    <w:rsid w:val="001B14E5"/>
    <w:rsid w:val="001B1A9F"/>
    <w:rsid w:val="001B30CB"/>
    <w:rsid w:val="001D2E5A"/>
    <w:rsid w:val="001D2E61"/>
    <w:rsid w:val="001E5B78"/>
    <w:rsid w:val="001F3BBE"/>
    <w:rsid w:val="00211F64"/>
    <w:rsid w:val="00230966"/>
    <w:rsid w:val="00250C76"/>
    <w:rsid w:val="002610BE"/>
    <w:rsid w:val="002639C3"/>
    <w:rsid w:val="002679C4"/>
    <w:rsid w:val="00282AC3"/>
    <w:rsid w:val="00283A03"/>
    <w:rsid w:val="00292E77"/>
    <w:rsid w:val="0030236A"/>
    <w:rsid w:val="00317ACA"/>
    <w:rsid w:val="00324C85"/>
    <w:rsid w:val="00333C0D"/>
    <w:rsid w:val="003344BF"/>
    <w:rsid w:val="00344251"/>
    <w:rsid w:val="00345DE5"/>
    <w:rsid w:val="00350CC8"/>
    <w:rsid w:val="003755BD"/>
    <w:rsid w:val="00377AA2"/>
    <w:rsid w:val="00381AA8"/>
    <w:rsid w:val="00392B71"/>
    <w:rsid w:val="00396F86"/>
    <w:rsid w:val="003A0EDA"/>
    <w:rsid w:val="003A6977"/>
    <w:rsid w:val="003B65E4"/>
    <w:rsid w:val="003C6249"/>
    <w:rsid w:val="003C7C8F"/>
    <w:rsid w:val="003D3B28"/>
    <w:rsid w:val="003E653B"/>
    <w:rsid w:val="00400B1C"/>
    <w:rsid w:val="00406819"/>
    <w:rsid w:val="004070AC"/>
    <w:rsid w:val="004074F3"/>
    <w:rsid w:val="00407B7E"/>
    <w:rsid w:val="00410E22"/>
    <w:rsid w:val="00447B41"/>
    <w:rsid w:val="00485FC9"/>
    <w:rsid w:val="004B0AB2"/>
    <w:rsid w:val="004C77E0"/>
    <w:rsid w:val="004D1E76"/>
    <w:rsid w:val="004E64DD"/>
    <w:rsid w:val="004E662E"/>
    <w:rsid w:val="004F2B54"/>
    <w:rsid w:val="00561A55"/>
    <w:rsid w:val="00566956"/>
    <w:rsid w:val="0059586B"/>
    <w:rsid w:val="00596E3B"/>
    <w:rsid w:val="005A72A0"/>
    <w:rsid w:val="005B0DE5"/>
    <w:rsid w:val="005C7303"/>
    <w:rsid w:val="005E71FA"/>
    <w:rsid w:val="00600320"/>
    <w:rsid w:val="00605F31"/>
    <w:rsid w:val="00615639"/>
    <w:rsid w:val="00624C1B"/>
    <w:rsid w:val="00631387"/>
    <w:rsid w:val="0066047B"/>
    <w:rsid w:val="00660594"/>
    <w:rsid w:val="0066415C"/>
    <w:rsid w:val="00684892"/>
    <w:rsid w:val="006A1DAF"/>
    <w:rsid w:val="006A52E9"/>
    <w:rsid w:val="006B571D"/>
    <w:rsid w:val="006C4C61"/>
    <w:rsid w:val="006D522D"/>
    <w:rsid w:val="006D5973"/>
    <w:rsid w:val="006E7897"/>
    <w:rsid w:val="006F09E0"/>
    <w:rsid w:val="007041B8"/>
    <w:rsid w:val="00706E7A"/>
    <w:rsid w:val="00714E9F"/>
    <w:rsid w:val="0071584E"/>
    <w:rsid w:val="00732A5A"/>
    <w:rsid w:val="007428D0"/>
    <w:rsid w:val="007430AA"/>
    <w:rsid w:val="00765901"/>
    <w:rsid w:val="00772E9D"/>
    <w:rsid w:val="007839AF"/>
    <w:rsid w:val="00783C23"/>
    <w:rsid w:val="00787466"/>
    <w:rsid w:val="007C217C"/>
    <w:rsid w:val="007C3980"/>
    <w:rsid w:val="007D16C7"/>
    <w:rsid w:val="007D5C36"/>
    <w:rsid w:val="007E127F"/>
    <w:rsid w:val="007E65F9"/>
    <w:rsid w:val="007F46FB"/>
    <w:rsid w:val="00802D4A"/>
    <w:rsid w:val="00812030"/>
    <w:rsid w:val="0083324A"/>
    <w:rsid w:val="008428EC"/>
    <w:rsid w:val="008550A1"/>
    <w:rsid w:val="0087230A"/>
    <w:rsid w:val="008764D8"/>
    <w:rsid w:val="00883811"/>
    <w:rsid w:val="008905BA"/>
    <w:rsid w:val="008C34C5"/>
    <w:rsid w:val="008C6C21"/>
    <w:rsid w:val="008D20C0"/>
    <w:rsid w:val="00912219"/>
    <w:rsid w:val="00912A15"/>
    <w:rsid w:val="009237AE"/>
    <w:rsid w:val="00923988"/>
    <w:rsid w:val="0095745E"/>
    <w:rsid w:val="00966D71"/>
    <w:rsid w:val="00976254"/>
    <w:rsid w:val="009822A8"/>
    <w:rsid w:val="009949CD"/>
    <w:rsid w:val="009961B9"/>
    <w:rsid w:val="009B40F3"/>
    <w:rsid w:val="009C1DC3"/>
    <w:rsid w:val="009C4836"/>
    <w:rsid w:val="009D5286"/>
    <w:rsid w:val="009F28EB"/>
    <w:rsid w:val="00A003E1"/>
    <w:rsid w:val="00A03E35"/>
    <w:rsid w:val="00A0773D"/>
    <w:rsid w:val="00A2026E"/>
    <w:rsid w:val="00A3283A"/>
    <w:rsid w:val="00A41760"/>
    <w:rsid w:val="00A5558E"/>
    <w:rsid w:val="00A71DE2"/>
    <w:rsid w:val="00A721DE"/>
    <w:rsid w:val="00A729D0"/>
    <w:rsid w:val="00AA7E8D"/>
    <w:rsid w:val="00AB029E"/>
    <w:rsid w:val="00AD0BBC"/>
    <w:rsid w:val="00AD72DB"/>
    <w:rsid w:val="00AF334C"/>
    <w:rsid w:val="00AF6568"/>
    <w:rsid w:val="00B106FB"/>
    <w:rsid w:val="00B136C6"/>
    <w:rsid w:val="00B15E6F"/>
    <w:rsid w:val="00B200D2"/>
    <w:rsid w:val="00B25EB7"/>
    <w:rsid w:val="00B34C8A"/>
    <w:rsid w:val="00B479EE"/>
    <w:rsid w:val="00B504D4"/>
    <w:rsid w:val="00B703A5"/>
    <w:rsid w:val="00B93C75"/>
    <w:rsid w:val="00BA12BE"/>
    <w:rsid w:val="00BA3646"/>
    <w:rsid w:val="00BB67F7"/>
    <w:rsid w:val="00BC0CE6"/>
    <w:rsid w:val="00BC7288"/>
    <w:rsid w:val="00BF322F"/>
    <w:rsid w:val="00BF3421"/>
    <w:rsid w:val="00C034C2"/>
    <w:rsid w:val="00C50C82"/>
    <w:rsid w:val="00C5656F"/>
    <w:rsid w:val="00C745A2"/>
    <w:rsid w:val="00C8510E"/>
    <w:rsid w:val="00C9150A"/>
    <w:rsid w:val="00C92008"/>
    <w:rsid w:val="00C974A1"/>
    <w:rsid w:val="00CA5EBC"/>
    <w:rsid w:val="00CA7FB1"/>
    <w:rsid w:val="00CB1815"/>
    <w:rsid w:val="00CB2B8D"/>
    <w:rsid w:val="00CC3745"/>
    <w:rsid w:val="00CC66E2"/>
    <w:rsid w:val="00CC71D8"/>
    <w:rsid w:val="00CD50FF"/>
    <w:rsid w:val="00CF138B"/>
    <w:rsid w:val="00D062A2"/>
    <w:rsid w:val="00D12D9E"/>
    <w:rsid w:val="00D61ACF"/>
    <w:rsid w:val="00D65B84"/>
    <w:rsid w:val="00D65E8D"/>
    <w:rsid w:val="00D70D06"/>
    <w:rsid w:val="00D90DF1"/>
    <w:rsid w:val="00D967A1"/>
    <w:rsid w:val="00DA4D8C"/>
    <w:rsid w:val="00DD2278"/>
    <w:rsid w:val="00DD2FEB"/>
    <w:rsid w:val="00DE34A7"/>
    <w:rsid w:val="00E13775"/>
    <w:rsid w:val="00E30D56"/>
    <w:rsid w:val="00E323C3"/>
    <w:rsid w:val="00E3680E"/>
    <w:rsid w:val="00E467A9"/>
    <w:rsid w:val="00E53368"/>
    <w:rsid w:val="00E70778"/>
    <w:rsid w:val="00E7508F"/>
    <w:rsid w:val="00E84F9D"/>
    <w:rsid w:val="00E956F2"/>
    <w:rsid w:val="00EA3AF7"/>
    <w:rsid w:val="00EB5125"/>
    <w:rsid w:val="00EB5E07"/>
    <w:rsid w:val="00EC51DD"/>
    <w:rsid w:val="00EE0155"/>
    <w:rsid w:val="00EF0199"/>
    <w:rsid w:val="00EF1396"/>
    <w:rsid w:val="00EF3CF1"/>
    <w:rsid w:val="00EF51B1"/>
    <w:rsid w:val="00EF7EFA"/>
    <w:rsid w:val="00F06787"/>
    <w:rsid w:val="00F06C82"/>
    <w:rsid w:val="00F104C6"/>
    <w:rsid w:val="00F15316"/>
    <w:rsid w:val="00F2675E"/>
    <w:rsid w:val="00F27DD9"/>
    <w:rsid w:val="00F32BFC"/>
    <w:rsid w:val="00F4246A"/>
    <w:rsid w:val="00F561E3"/>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2145"/>
    <o:shapelayout v:ext="edit">
      <o:idmap v:ext="edit" data="1"/>
    </o:shapelayout>
  </w:shapeDefaults>
  <w:decimalSymbol w:val=","/>
  <w:listSeparator w:val=";"/>
  <w14:docId w14:val="07E70DB7"/>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cb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o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de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7D2B-FE35-4794-A4BF-35B72AB5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137</cp:revision>
  <dcterms:created xsi:type="dcterms:W3CDTF">2023-03-22T13:46:00Z</dcterms:created>
  <dcterms:modified xsi:type="dcterms:W3CDTF">2024-10-09T09:38:00Z</dcterms:modified>
</cp:coreProperties>
</file>