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839CD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w:t>
      </w:r>
      <w:r w:rsidR="005468D4">
        <w:rPr>
          <w:rFonts w:cstheme="minorHAnsi"/>
        </w:rPr>
        <w:t>0</w:t>
      </w:r>
      <w:r w:rsidR="00986649" w:rsidRPr="002A6763">
        <w:rPr>
          <w:rFonts w:cstheme="minorHAnsi"/>
        </w:rPr>
        <w:t>.</w:t>
      </w:r>
      <w:r w:rsidR="00860277">
        <w:rPr>
          <w:rFonts w:cstheme="minorHAnsi"/>
        </w:rPr>
        <w:t>0</w:t>
      </w:r>
      <w:r w:rsidR="00E0686B">
        <w:rPr>
          <w:rFonts w:cstheme="minorHAnsi"/>
        </w:rPr>
        <w:t>9</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Нежилое здание, кадастровый номер 50:42:0000000:4162, по адресу: Московская область, городской округ Долгопрудный, город Долгопрудный, Лихачевское шоссе, дом 6</w:t>
            </w:r>
          </w:p>
        </w:tc>
        <w:tc>
          <w:tcPr>
            <w:tcW w:w="2829" w:type="dxa"/>
          </w:tcPr>
          <w:p w14:paraId="1A39B0C7" w14:textId="28F220B5" w:rsidR="00BF5D67" w:rsidRPr="006D6CD8" w:rsidRDefault="00236BDD" w:rsidP="005D5AA7">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5D5AA7">
              <w:rPr>
                <w:rFonts w:cstheme="minorHAnsi"/>
              </w:rPr>
              <w:t>63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Лихачёвское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6DD0BCD" w:rsidR="00A52C36" w:rsidRPr="006D6CD8" w:rsidRDefault="000D6067" w:rsidP="005D5AA7">
            <w:pPr>
              <w:spacing w:line="276" w:lineRule="auto"/>
              <w:jc w:val="center"/>
              <w:rPr>
                <w:rFonts w:cstheme="minorHAnsi"/>
              </w:rPr>
            </w:pPr>
            <w:r>
              <w:rPr>
                <w:rFonts w:cstheme="minorHAnsi"/>
              </w:rPr>
              <w:lastRenderedPageBreak/>
              <w:t>9</w:t>
            </w:r>
            <w:r w:rsidR="006D6CD8" w:rsidRPr="006D6CD8">
              <w:rPr>
                <w:rFonts w:cstheme="minorHAnsi"/>
              </w:rPr>
              <w:t>,</w:t>
            </w:r>
            <w:r w:rsidR="005D5AA7">
              <w:rPr>
                <w:rFonts w:cstheme="minorHAnsi"/>
              </w:rPr>
              <w:t>20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5FBC185E" w:rsidR="005C0AFF" w:rsidRPr="006D6CD8" w:rsidRDefault="00236BDD" w:rsidP="005D5AA7">
            <w:pPr>
              <w:spacing w:line="276" w:lineRule="auto"/>
              <w:jc w:val="center"/>
              <w:rPr>
                <w:rFonts w:cstheme="minorHAnsi"/>
              </w:rPr>
            </w:pPr>
            <w:r>
              <w:rPr>
                <w:rFonts w:cstheme="minorHAnsi"/>
              </w:rPr>
              <w:t>4</w:t>
            </w:r>
            <w:r w:rsidR="006D6CD8" w:rsidRPr="006D6CD8">
              <w:rPr>
                <w:rFonts w:cstheme="minorHAnsi"/>
              </w:rPr>
              <w:t>,</w:t>
            </w:r>
            <w:r w:rsidR="005D5AA7">
              <w:rPr>
                <w:rFonts w:cstheme="minorHAnsi"/>
              </w:rPr>
              <w:t>53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Нежилое здание, кадастровый номер 50:42:0000000:1607, по адресу: Московская область, городской округ Долгопрудный, город Долгопрудный, Лихачевское шоссе, дом 6, строение 1</w:t>
            </w:r>
          </w:p>
        </w:tc>
        <w:tc>
          <w:tcPr>
            <w:tcW w:w="2829" w:type="dxa"/>
          </w:tcPr>
          <w:p w14:paraId="7E1925B5" w14:textId="67B37A5A"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5D5AA7">
              <w:rPr>
                <w:rFonts w:cstheme="minorHAnsi"/>
              </w:rPr>
              <w:t>2</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2EFE888F" w:rsidR="00236BDD" w:rsidRPr="006D6CD8" w:rsidRDefault="005D5AA7" w:rsidP="005D5AA7">
            <w:pPr>
              <w:spacing w:line="276" w:lineRule="auto"/>
              <w:jc w:val="center"/>
              <w:rPr>
                <w:rFonts w:cstheme="minorHAnsi"/>
              </w:rPr>
            </w:pPr>
            <w:r>
              <w:rPr>
                <w:rFonts w:cstheme="minorHAnsi"/>
              </w:rPr>
              <w:t>1</w:t>
            </w:r>
            <w:r w:rsidR="00236BDD">
              <w:rPr>
                <w:rFonts w:cstheme="minorHAnsi"/>
              </w:rPr>
              <w:t>,</w:t>
            </w:r>
            <w:r>
              <w:rPr>
                <w:rFonts w:cstheme="minorHAnsi"/>
              </w:rPr>
              <w:t>97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377B7C46" w14:textId="1CFA36EB" w:rsidR="008D510F" w:rsidRPr="0004637F" w:rsidRDefault="00B16FEE" w:rsidP="00F369CF">
            <w:pPr>
              <w:pStyle w:val="ConsPlusNormal"/>
              <w:ind w:left="283"/>
              <w:rPr>
                <w:rFonts w:asciiTheme="minorHAnsi" w:hAnsiTheme="minorHAnsi" w:cstheme="minorHAnsi"/>
              </w:rPr>
            </w:pPr>
            <w:r w:rsidRPr="0004637F">
              <w:rPr>
                <w:rFonts w:asciiTheme="minorHAnsi" w:hAnsiTheme="minorHAnsi" w:cstheme="minorHAnsi"/>
              </w:rPr>
              <w:t>инфляции</w:t>
            </w:r>
            <w:bookmarkStart w:id="0" w:name="_GoBack"/>
            <w:bookmarkEnd w:id="0"/>
          </w:p>
        </w:tc>
      </w:tr>
      <w:tr w:rsidR="005D5AA7" w:rsidRPr="00C50091" w14:paraId="163F6D42" w14:textId="77777777" w:rsidTr="00717D7C">
        <w:tc>
          <w:tcPr>
            <w:tcW w:w="4365" w:type="dxa"/>
            <w:vMerge/>
          </w:tcPr>
          <w:p w14:paraId="439EA073" w14:textId="77777777" w:rsidR="005D5AA7" w:rsidRPr="003B455E" w:rsidRDefault="005D5AA7" w:rsidP="005D5AA7">
            <w:pPr>
              <w:rPr>
                <w:rFonts w:cstheme="minorHAnsi"/>
              </w:rPr>
            </w:pPr>
          </w:p>
        </w:tc>
        <w:tc>
          <w:tcPr>
            <w:tcW w:w="1380" w:type="dxa"/>
            <w:vAlign w:val="bottom"/>
          </w:tcPr>
          <w:p w14:paraId="377E34DE"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26500C72" w:rsidR="005D5AA7" w:rsidRPr="00236BDD" w:rsidRDefault="005D5AA7" w:rsidP="005D5AA7">
            <w:pPr>
              <w:pStyle w:val="ConsPlusNormal"/>
              <w:rPr>
                <w:rFonts w:asciiTheme="minorHAnsi" w:hAnsiTheme="minorHAnsi" w:cstheme="minorHAnsi"/>
                <w:highlight w:val="yellow"/>
              </w:rPr>
            </w:pPr>
            <w:r>
              <w:rPr>
                <w:color w:val="000000"/>
                <w:szCs w:val="22"/>
              </w:rPr>
              <w:t>1,66%</w:t>
            </w:r>
          </w:p>
        </w:tc>
        <w:tc>
          <w:tcPr>
            <w:tcW w:w="1846" w:type="dxa"/>
            <w:vAlign w:val="bottom"/>
          </w:tcPr>
          <w:p w14:paraId="5DA42905" w14:textId="55072444" w:rsidR="005D5AA7" w:rsidRPr="00236BDD" w:rsidRDefault="00CD4AF1" w:rsidP="005D5AA7">
            <w:pPr>
              <w:pStyle w:val="ConsPlusNormal"/>
              <w:rPr>
                <w:rFonts w:asciiTheme="minorHAnsi" w:hAnsiTheme="minorHAnsi" w:cstheme="minorHAnsi"/>
                <w:color w:val="FF0000"/>
                <w:highlight w:val="yellow"/>
              </w:rPr>
            </w:pPr>
            <w:r>
              <w:rPr>
                <w:color w:val="000000"/>
                <w:szCs w:val="22"/>
              </w:rPr>
              <w:t>1,18</w:t>
            </w:r>
            <w:r w:rsidR="005D5AA7">
              <w:rPr>
                <w:color w:val="000000"/>
                <w:szCs w:val="22"/>
              </w:rPr>
              <w:t>%</w:t>
            </w:r>
          </w:p>
        </w:tc>
      </w:tr>
      <w:tr w:rsidR="005D5AA7" w:rsidRPr="00C50091" w14:paraId="734DB2DE" w14:textId="77777777" w:rsidTr="00717D7C">
        <w:tc>
          <w:tcPr>
            <w:tcW w:w="4365" w:type="dxa"/>
            <w:vMerge/>
          </w:tcPr>
          <w:p w14:paraId="1A4F3314" w14:textId="77777777" w:rsidR="005D5AA7" w:rsidRPr="003B455E" w:rsidRDefault="005D5AA7" w:rsidP="005D5AA7">
            <w:pPr>
              <w:rPr>
                <w:rFonts w:cstheme="minorHAnsi"/>
              </w:rPr>
            </w:pPr>
          </w:p>
        </w:tc>
        <w:tc>
          <w:tcPr>
            <w:tcW w:w="1380" w:type="dxa"/>
            <w:vAlign w:val="bottom"/>
          </w:tcPr>
          <w:p w14:paraId="6B673F49"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078D7525" w:rsidR="005D5AA7" w:rsidRPr="00236BDD" w:rsidRDefault="005D5AA7" w:rsidP="005D5AA7">
            <w:pPr>
              <w:pStyle w:val="ConsPlusNormal"/>
              <w:rPr>
                <w:rFonts w:asciiTheme="minorHAnsi" w:hAnsiTheme="minorHAnsi" w:cstheme="minorHAnsi"/>
                <w:highlight w:val="yellow"/>
              </w:rPr>
            </w:pPr>
            <w:r>
              <w:rPr>
                <w:color w:val="000000"/>
                <w:szCs w:val="22"/>
              </w:rPr>
              <w:t>6,00%</w:t>
            </w:r>
          </w:p>
        </w:tc>
        <w:tc>
          <w:tcPr>
            <w:tcW w:w="1846" w:type="dxa"/>
            <w:vAlign w:val="bottom"/>
          </w:tcPr>
          <w:p w14:paraId="0A9EC4F7" w14:textId="6C5C508F" w:rsidR="005D5AA7" w:rsidRPr="00236BDD" w:rsidRDefault="00CD4AF1" w:rsidP="005D5AA7">
            <w:pPr>
              <w:pStyle w:val="ConsPlusNormal"/>
              <w:rPr>
                <w:rFonts w:asciiTheme="minorHAnsi" w:hAnsiTheme="minorHAnsi" w:cstheme="minorHAnsi"/>
                <w:color w:val="FF0000"/>
                <w:highlight w:val="yellow"/>
              </w:rPr>
            </w:pPr>
            <w:r>
              <w:rPr>
                <w:color w:val="000000"/>
                <w:szCs w:val="22"/>
              </w:rPr>
              <w:t>4,17</w:t>
            </w:r>
            <w:r w:rsidR="005D5AA7">
              <w:rPr>
                <w:color w:val="000000"/>
                <w:szCs w:val="22"/>
              </w:rPr>
              <w:t>%</w:t>
            </w:r>
          </w:p>
        </w:tc>
      </w:tr>
      <w:tr w:rsidR="005D5AA7" w:rsidRPr="00C50091" w14:paraId="2D189623" w14:textId="77777777" w:rsidTr="00717D7C">
        <w:tc>
          <w:tcPr>
            <w:tcW w:w="4365" w:type="dxa"/>
            <w:vMerge/>
          </w:tcPr>
          <w:p w14:paraId="06D3E770" w14:textId="77777777" w:rsidR="005D5AA7" w:rsidRPr="003B455E" w:rsidRDefault="005D5AA7" w:rsidP="005D5AA7">
            <w:pPr>
              <w:rPr>
                <w:rFonts w:cstheme="minorHAnsi"/>
              </w:rPr>
            </w:pPr>
          </w:p>
        </w:tc>
        <w:tc>
          <w:tcPr>
            <w:tcW w:w="1380" w:type="dxa"/>
            <w:vAlign w:val="bottom"/>
          </w:tcPr>
          <w:p w14:paraId="0A625FAD"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4CA1E11F" w:rsidR="005D5AA7" w:rsidRPr="00236BDD" w:rsidRDefault="005D5AA7" w:rsidP="005D5AA7">
            <w:pPr>
              <w:pStyle w:val="ConsPlusNormal"/>
              <w:rPr>
                <w:color w:val="000000"/>
                <w:szCs w:val="22"/>
                <w:highlight w:val="yellow"/>
              </w:rPr>
            </w:pPr>
            <w:r>
              <w:rPr>
                <w:color w:val="000000"/>
                <w:szCs w:val="22"/>
              </w:rPr>
              <w:t>14,49%</w:t>
            </w:r>
          </w:p>
        </w:tc>
        <w:tc>
          <w:tcPr>
            <w:tcW w:w="1846" w:type="dxa"/>
            <w:vAlign w:val="bottom"/>
          </w:tcPr>
          <w:p w14:paraId="5A1631C8" w14:textId="5B309714" w:rsidR="005D5AA7" w:rsidRPr="00236BDD" w:rsidRDefault="00CD4AF1" w:rsidP="005D5AA7">
            <w:pPr>
              <w:pStyle w:val="ConsPlusNormal"/>
              <w:rPr>
                <w:color w:val="000000"/>
                <w:szCs w:val="22"/>
                <w:highlight w:val="yellow"/>
              </w:rPr>
            </w:pPr>
            <w:r>
              <w:rPr>
                <w:color w:val="000000"/>
                <w:szCs w:val="22"/>
              </w:rPr>
              <w:t>10,73</w:t>
            </w:r>
            <w:r w:rsidR="005D5AA7">
              <w:rPr>
                <w:color w:val="000000"/>
                <w:szCs w:val="22"/>
              </w:rPr>
              <w:t>%</w:t>
            </w:r>
          </w:p>
        </w:tc>
      </w:tr>
      <w:tr w:rsidR="005D5AA7" w:rsidRPr="00C50091" w14:paraId="00022598" w14:textId="77777777" w:rsidTr="00717D7C">
        <w:tc>
          <w:tcPr>
            <w:tcW w:w="4365" w:type="dxa"/>
            <w:vMerge/>
          </w:tcPr>
          <w:p w14:paraId="23447C1B" w14:textId="77777777" w:rsidR="005D5AA7" w:rsidRPr="003B455E" w:rsidRDefault="005D5AA7" w:rsidP="005D5AA7">
            <w:pPr>
              <w:rPr>
                <w:rFonts w:cstheme="minorHAnsi"/>
              </w:rPr>
            </w:pPr>
          </w:p>
        </w:tc>
        <w:tc>
          <w:tcPr>
            <w:tcW w:w="1380" w:type="dxa"/>
            <w:vAlign w:val="bottom"/>
          </w:tcPr>
          <w:p w14:paraId="1559E4EA"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19598224" w:rsidR="005D5AA7" w:rsidRPr="00236BDD" w:rsidRDefault="005D5AA7" w:rsidP="005D5AA7">
            <w:pPr>
              <w:pStyle w:val="ConsPlusNormal"/>
              <w:rPr>
                <w:rFonts w:asciiTheme="minorHAnsi" w:hAnsiTheme="minorHAnsi" w:cstheme="minorHAnsi"/>
                <w:highlight w:val="yellow"/>
              </w:rPr>
            </w:pPr>
            <w:r>
              <w:rPr>
                <w:color w:val="000000"/>
                <w:szCs w:val="22"/>
              </w:rPr>
              <w:t>30,18%</w:t>
            </w:r>
          </w:p>
        </w:tc>
        <w:tc>
          <w:tcPr>
            <w:tcW w:w="1846" w:type="dxa"/>
            <w:vAlign w:val="bottom"/>
          </w:tcPr>
          <w:p w14:paraId="4EF284CC" w14:textId="4B14401E" w:rsidR="005D5AA7" w:rsidRPr="00236BDD" w:rsidRDefault="00CD4AF1" w:rsidP="005D5AA7">
            <w:pPr>
              <w:pStyle w:val="ConsPlusNormal"/>
              <w:rPr>
                <w:rFonts w:asciiTheme="minorHAnsi" w:hAnsiTheme="minorHAnsi" w:cstheme="minorHAnsi"/>
                <w:color w:val="FF0000"/>
                <w:highlight w:val="yellow"/>
              </w:rPr>
            </w:pPr>
            <w:r>
              <w:rPr>
                <w:color w:val="000000"/>
                <w:szCs w:val="22"/>
              </w:rPr>
              <w:t>21,56</w:t>
            </w:r>
            <w:r w:rsidR="005D5AA7">
              <w:rPr>
                <w:color w:val="000000"/>
                <w:szCs w:val="22"/>
              </w:rPr>
              <w:t>%</w:t>
            </w:r>
          </w:p>
        </w:tc>
      </w:tr>
      <w:tr w:rsidR="005D5AA7" w:rsidRPr="00C50091" w14:paraId="61586E32" w14:textId="77777777" w:rsidTr="00717D7C">
        <w:tc>
          <w:tcPr>
            <w:tcW w:w="4365" w:type="dxa"/>
            <w:vMerge/>
          </w:tcPr>
          <w:p w14:paraId="6D68E732" w14:textId="77777777" w:rsidR="005D5AA7" w:rsidRPr="003B455E" w:rsidRDefault="005D5AA7" w:rsidP="005D5AA7">
            <w:pPr>
              <w:rPr>
                <w:rFonts w:cstheme="minorHAnsi"/>
              </w:rPr>
            </w:pPr>
          </w:p>
        </w:tc>
        <w:tc>
          <w:tcPr>
            <w:tcW w:w="1380" w:type="dxa"/>
            <w:vAlign w:val="bottom"/>
          </w:tcPr>
          <w:p w14:paraId="6C7A6518"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1DF57BB0" w:rsidR="005D5AA7" w:rsidRPr="00236BDD" w:rsidRDefault="005D5AA7" w:rsidP="005D5AA7">
            <w:pPr>
              <w:pStyle w:val="ConsPlusNormal"/>
              <w:rPr>
                <w:rFonts w:asciiTheme="minorHAnsi" w:hAnsiTheme="minorHAnsi" w:cstheme="minorHAnsi"/>
                <w:highlight w:val="yellow"/>
              </w:rPr>
            </w:pPr>
            <w:r>
              <w:rPr>
                <w:color w:val="000000"/>
                <w:szCs w:val="22"/>
              </w:rPr>
              <w:t>110,40%</w:t>
            </w:r>
          </w:p>
        </w:tc>
        <w:tc>
          <w:tcPr>
            <w:tcW w:w="1846" w:type="dxa"/>
            <w:vAlign w:val="bottom"/>
          </w:tcPr>
          <w:p w14:paraId="4946C1EE" w14:textId="2B400160" w:rsidR="005D5AA7" w:rsidRPr="00236BDD" w:rsidRDefault="00CD4AF1" w:rsidP="005D5AA7">
            <w:pPr>
              <w:pStyle w:val="ConsPlusNormal"/>
              <w:rPr>
                <w:rFonts w:asciiTheme="minorHAnsi" w:hAnsiTheme="minorHAnsi" w:cstheme="minorHAnsi"/>
                <w:color w:val="FF0000"/>
                <w:highlight w:val="yellow"/>
              </w:rPr>
            </w:pPr>
            <w:r>
              <w:rPr>
                <w:color w:val="000000"/>
                <w:szCs w:val="22"/>
              </w:rPr>
              <w:t>79,52</w:t>
            </w:r>
            <w:r w:rsidR="005D5AA7">
              <w:rPr>
                <w:color w:val="000000"/>
                <w:szCs w:val="22"/>
              </w:rPr>
              <w:t>%</w:t>
            </w:r>
          </w:p>
        </w:tc>
      </w:tr>
      <w:tr w:rsidR="005D5AA7" w:rsidRPr="00C50091" w14:paraId="23E49679" w14:textId="77777777" w:rsidTr="00311FAE">
        <w:tc>
          <w:tcPr>
            <w:tcW w:w="4365" w:type="dxa"/>
            <w:vMerge/>
          </w:tcPr>
          <w:p w14:paraId="18885D97" w14:textId="77777777" w:rsidR="005D5AA7" w:rsidRPr="003B455E" w:rsidRDefault="005D5AA7" w:rsidP="005D5AA7">
            <w:pPr>
              <w:pStyle w:val="ConsPlusNormal"/>
              <w:rPr>
                <w:rFonts w:asciiTheme="minorHAnsi" w:hAnsiTheme="minorHAnsi" w:cstheme="minorHAnsi"/>
              </w:rPr>
            </w:pPr>
          </w:p>
        </w:tc>
        <w:tc>
          <w:tcPr>
            <w:tcW w:w="1380" w:type="dxa"/>
            <w:vAlign w:val="bottom"/>
          </w:tcPr>
          <w:p w14:paraId="427B3323" w14:textId="77777777" w:rsidR="005D5AA7" w:rsidRPr="0004637F" w:rsidRDefault="005D5AA7" w:rsidP="005D5AA7">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4C59A66B" w:rsidR="005D5AA7" w:rsidRPr="00236BDD" w:rsidRDefault="005D5AA7" w:rsidP="005D5AA7">
            <w:pPr>
              <w:pStyle w:val="ConsPlusNormal"/>
              <w:rPr>
                <w:rFonts w:asciiTheme="minorHAnsi" w:hAnsiTheme="minorHAnsi" w:cstheme="minorHAnsi"/>
                <w:highlight w:val="yellow"/>
              </w:rPr>
            </w:pPr>
            <w:r>
              <w:rPr>
                <w:color w:val="000000"/>
                <w:szCs w:val="22"/>
              </w:rPr>
              <w:t>150,25%</w:t>
            </w:r>
          </w:p>
        </w:tc>
        <w:tc>
          <w:tcPr>
            <w:tcW w:w="1846" w:type="dxa"/>
            <w:vAlign w:val="bottom"/>
          </w:tcPr>
          <w:p w14:paraId="529BB3CB" w14:textId="401821CB" w:rsidR="005D5AA7" w:rsidRPr="00236BDD" w:rsidRDefault="00CD4AF1" w:rsidP="005D5AA7">
            <w:pPr>
              <w:pStyle w:val="ConsPlusNormal"/>
              <w:rPr>
                <w:rFonts w:asciiTheme="minorHAnsi" w:hAnsiTheme="minorHAnsi" w:cstheme="minorHAnsi"/>
                <w:highlight w:val="yellow"/>
              </w:rPr>
            </w:pPr>
            <w:r>
              <w:rPr>
                <w:color w:val="000000"/>
                <w:szCs w:val="22"/>
              </w:rPr>
              <w:t>104,53</w:t>
            </w:r>
            <w:r w:rsidR="005D5AA7">
              <w:rPr>
                <w:color w:val="000000"/>
                <w:szCs w:val="22"/>
              </w:rPr>
              <w:t>%</w:t>
            </w:r>
          </w:p>
        </w:tc>
      </w:tr>
    </w:tbl>
    <w:p w14:paraId="136D627F" w14:textId="77777777" w:rsidR="004F6824" w:rsidRPr="00C50091" w:rsidRDefault="004F6824" w:rsidP="007E2A89">
      <w:pPr>
        <w:pStyle w:val="a3"/>
        <w:spacing w:line="276" w:lineRule="auto"/>
        <w:rPr>
          <w:rFonts w:cstheme="minorHAnsi"/>
        </w:rPr>
      </w:pPr>
    </w:p>
    <w:p w14:paraId="66686100" w14:textId="783B1137" w:rsidR="007A0DCF" w:rsidRPr="00C50091" w:rsidRDefault="007E4067" w:rsidP="005D5AA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5AA7" w:rsidRPr="005D5AA7">
        <w:rPr>
          <w:rFonts w:cstheme="minorHAnsi"/>
        </w:rPr>
        <w:t>1 161,29</w:t>
      </w:r>
      <w:r w:rsidR="005D5AA7">
        <w:rPr>
          <w:rFonts w:cstheme="minorHAnsi"/>
        </w:rPr>
        <w:t xml:space="preserve"> </w:t>
      </w:r>
      <w:r w:rsidRPr="00C50091">
        <w:rPr>
          <w:rFonts w:cstheme="minorHAnsi"/>
        </w:rPr>
        <w:t>рублей.</w:t>
      </w:r>
    </w:p>
    <w:p w14:paraId="59CB4D01" w14:textId="6EE4D4E4" w:rsidR="007F4701" w:rsidRPr="007F4701" w:rsidRDefault="007A0DCF" w:rsidP="005D5AA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5D5AA7" w:rsidRPr="005D5AA7">
        <w:rPr>
          <w:rFonts w:cstheme="minorHAnsi"/>
        </w:rPr>
        <w:t>151</w:t>
      </w:r>
      <w:r w:rsidR="005D5AA7">
        <w:rPr>
          <w:rFonts w:cstheme="minorHAnsi"/>
        </w:rPr>
        <w:t> </w:t>
      </w:r>
      <w:r w:rsidR="005D5AA7" w:rsidRPr="005D5AA7">
        <w:rPr>
          <w:rFonts w:cstheme="minorHAnsi"/>
        </w:rPr>
        <w:t>110</w:t>
      </w:r>
      <w:r w:rsidR="005D5AA7">
        <w:rPr>
          <w:rFonts w:cstheme="minorHAnsi"/>
        </w:rPr>
        <w:t xml:space="preserve"> </w:t>
      </w:r>
      <w:r w:rsidR="005D5AA7" w:rsidRPr="005D5AA7">
        <w:rPr>
          <w:rFonts w:cstheme="minorHAnsi"/>
        </w:rPr>
        <w:t>054,55</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на  последний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1FD7"/>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3CE1"/>
    <w:rsid w:val="00BF5D67"/>
    <w:rsid w:val="00C40D8F"/>
    <w:rsid w:val="00C45B63"/>
    <w:rsid w:val="00C50091"/>
    <w:rsid w:val="00C75DF9"/>
    <w:rsid w:val="00C83257"/>
    <w:rsid w:val="00C84B56"/>
    <w:rsid w:val="00C952C3"/>
    <w:rsid w:val="00CD4AF1"/>
    <w:rsid w:val="00CD5164"/>
    <w:rsid w:val="00CF0234"/>
    <w:rsid w:val="00CF4FA4"/>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258E1"/>
    <w:rsid w:val="00F369CF"/>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C25F-B70C-4E8F-B8D8-AFB6F382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97</cp:revision>
  <cp:lastPrinted>2021-09-07T11:44:00Z</cp:lastPrinted>
  <dcterms:created xsi:type="dcterms:W3CDTF">2021-10-05T09:48:00Z</dcterms:created>
  <dcterms:modified xsi:type="dcterms:W3CDTF">2024-11-22T07:41:00Z</dcterms:modified>
</cp:coreProperties>
</file>