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003C94">
        <w:rPr>
          <w:rFonts w:cstheme="minorHAnsi"/>
        </w:rPr>
        <w:t>31</w:t>
      </w:r>
      <w:r w:rsidRPr="0021055B">
        <w:rPr>
          <w:rFonts w:cstheme="minorHAnsi"/>
        </w:rPr>
        <w:t>.</w:t>
      </w:r>
      <w:r w:rsidR="00003C94">
        <w:rPr>
          <w:rFonts w:cstheme="minorHAnsi"/>
        </w:rPr>
        <w:t>01</w:t>
      </w:r>
      <w:r w:rsidRPr="0021055B">
        <w:rPr>
          <w:rFonts w:cstheme="minorHAnsi"/>
        </w:rPr>
        <w:t>.202</w:t>
      </w:r>
      <w:r w:rsidR="00003C94">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AE61DA">
            <w:pPr>
              <w:spacing w:line="276" w:lineRule="auto"/>
              <w:jc w:val="center"/>
              <w:rPr>
                <w:rFonts w:cstheme="minorHAnsi"/>
              </w:rPr>
            </w:pPr>
            <w:r>
              <w:rPr>
                <w:rFonts w:cstheme="minorHAnsi"/>
              </w:rPr>
              <w:t>4</w:t>
            </w:r>
            <w:r w:rsidR="00AE61DA">
              <w:rPr>
                <w:rFonts w:cstheme="minorHAnsi"/>
              </w:rPr>
              <w:t>3</w:t>
            </w:r>
            <w:r w:rsidR="00BC1901">
              <w:rPr>
                <w:rFonts w:cstheme="minorHAnsi"/>
              </w:rPr>
              <w:t>,</w:t>
            </w:r>
            <w:r w:rsidR="00AE61DA">
              <w:rPr>
                <w:rFonts w:cstheme="minorHAnsi"/>
              </w:rPr>
              <w:t>03</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AE61DA">
            <w:pPr>
              <w:spacing w:line="276" w:lineRule="auto"/>
              <w:jc w:val="center"/>
              <w:rPr>
                <w:rFonts w:cstheme="minorHAnsi"/>
                <w:lang w:val="en-US"/>
              </w:rPr>
            </w:pPr>
            <w:r>
              <w:rPr>
                <w:rFonts w:cstheme="minorHAnsi"/>
              </w:rPr>
              <w:t>20</w:t>
            </w:r>
            <w:r w:rsidR="00BC1901">
              <w:rPr>
                <w:rFonts w:cstheme="minorHAnsi"/>
              </w:rPr>
              <w:t>,</w:t>
            </w:r>
            <w:r w:rsidR="00AE61DA">
              <w:rPr>
                <w:rFonts w:cstheme="minorHAnsi"/>
              </w:rPr>
              <w:t>17</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AE61DA">
            <w:pPr>
              <w:spacing w:line="276" w:lineRule="auto"/>
              <w:jc w:val="center"/>
              <w:rPr>
                <w:rFonts w:cstheme="minorHAnsi"/>
                <w:lang w:val="en-US"/>
              </w:rPr>
            </w:pPr>
            <w:r>
              <w:rPr>
                <w:rFonts w:cstheme="minorHAnsi"/>
              </w:rPr>
              <w:t>7</w:t>
            </w:r>
            <w:r w:rsidR="00BC1901">
              <w:rPr>
                <w:rFonts w:cstheme="minorHAnsi"/>
              </w:rPr>
              <w:t>,</w:t>
            </w:r>
            <w:r w:rsidR="00AE61DA">
              <w:rPr>
                <w:rFonts w:cstheme="minorHAnsi"/>
              </w:rPr>
              <w:t>78</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AE61DA">
            <w:pPr>
              <w:spacing w:line="276" w:lineRule="auto"/>
              <w:jc w:val="center"/>
              <w:rPr>
                <w:rFonts w:cstheme="minorHAnsi"/>
              </w:rPr>
            </w:pPr>
            <w:r>
              <w:rPr>
                <w:rFonts w:cstheme="minorHAnsi"/>
              </w:rPr>
              <w:t>4</w:t>
            </w:r>
            <w:r w:rsidR="00903000">
              <w:rPr>
                <w:rFonts w:cstheme="minorHAnsi"/>
              </w:rPr>
              <w:t>,</w:t>
            </w:r>
            <w:r w:rsidR="00AE61DA">
              <w:rPr>
                <w:rFonts w:cstheme="minorHAnsi"/>
              </w:rPr>
              <w:t>75</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AE61DA">
            <w:pPr>
              <w:spacing w:line="276" w:lineRule="auto"/>
              <w:jc w:val="center"/>
              <w:rPr>
                <w:rFonts w:cstheme="minorHAnsi"/>
              </w:rPr>
            </w:pPr>
            <w:r>
              <w:rPr>
                <w:rFonts w:cstheme="minorHAnsi"/>
              </w:rPr>
              <w:t>5</w:t>
            </w:r>
            <w:r w:rsidR="009950EE">
              <w:rPr>
                <w:rFonts w:cstheme="minorHAnsi"/>
              </w:rPr>
              <w:t>,</w:t>
            </w:r>
            <w:r w:rsidR="00AE61DA">
              <w:rPr>
                <w:rFonts w:cstheme="minorHAnsi"/>
              </w:rPr>
              <w:t>05</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1349D1">
        <w:tblPrEx>
          <w:tblCellMar>
            <w:left w:w="108" w:type="dxa"/>
            <w:right w:w="108" w:type="dxa"/>
          </w:tblCellMar>
        </w:tblPrEx>
        <w:trPr>
          <w:trHeight w:val="1074"/>
        </w:trPr>
        <w:tc>
          <w:tcPr>
            <w:tcW w:w="4365" w:type="dxa"/>
            <w:vMerge w:val="restart"/>
            <w:vAlign w:val="center"/>
          </w:tcPr>
          <w:p w:rsidR="00236A0E" w:rsidRPr="000B107A" w:rsidRDefault="001349D1" w:rsidP="008C4FD4">
            <w:pPr>
              <w:pStyle w:val="ConsPlusNormal"/>
              <w:jc w:val="center"/>
              <w:rPr>
                <w:rFonts w:asciiTheme="minorHAnsi" w:hAnsiTheme="minorHAnsi" w:cstheme="minorHAnsi"/>
                <w:lang w:val="en-US"/>
              </w:rPr>
            </w:pPr>
            <w:r>
              <w:rPr>
                <w:noProof/>
              </w:rPr>
              <w:drawing>
                <wp:inline distT="0" distB="0" distL="0" distR="0" wp14:anchorId="400ED82D" wp14:editId="130E5B2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FD447F">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FD447F">
              <w:rPr>
                <w:rFonts w:cstheme="minorHAnsi"/>
                <w:sz w:val="12"/>
                <w:szCs w:val="12"/>
              </w:rPr>
              <w:t>декабрь</w:t>
            </w:r>
            <w:r w:rsidR="009822F6" w:rsidRPr="00EB78B5">
              <w:rPr>
                <w:rFonts w:asciiTheme="minorHAnsi" w:hAnsiTheme="minorHAnsi"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584EAF" w:rsidRPr="00C50091" w:rsidTr="00553F85">
        <w:tc>
          <w:tcPr>
            <w:tcW w:w="4365" w:type="dxa"/>
            <w:vMerge/>
          </w:tcPr>
          <w:p w:rsidR="00584EAF" w:rsidRPr="003B455E" w:rsidRDefault="00584EAF" w:rsidP="00584EAF">
            <w:pPr>
              <w:rPr>
                <w:rFonts w:cstheme="minorHAnsi"/>
              </w:rPr>
            </w:pPr>
            <w:bookmarkStart w:id="0" w:name="_GoBack" w:colFirst="3" w:colLast="3"/>
          </w:p>
        </w:tc>
        <w:tc>
          <w:tcPr>
            <w:tcW w:w="1380" w:type="dxa"/>
            <w:vAlign w:val="center"/>
          </w:tcPr>
          <w:p w:rsidR="00584EAF" w:rsidRPr="00FF0B6E" w:rsidRDefault="00584EAF" w:rsidP="00584EAF">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584EAF" w:rsidRDefault="00584EAF" w:rsidP="00584EAF">
            <w:pPr>
              <w:jc w:val="center"/>
              <w:rPr>
                <w:rFonts w:ascii="Arial Narrow" w:hAnsi="Arial Narrow"/>
                <w:color w:val="000000"/>
                <w:sz w:val="20"/>
                <w:szCs w:val="20"/>
              </w:rPr>
            </w:pPr>
            <w:r>
              <w:rPr>
                <w:rFonts w:ascii="Arial Narrow" w:hAnsi="Arial Narrow"/>
                <w:color w:val="000000"/>
                <w:sz w:val="20"/>
                <w:szCs w:val="20"/>
              </w:rPr>
              <w:t>3,20%</w:t>
            </w:r>
          </w:p>
        </w:tc>
        <w:tc>
          <w:tcPr>
            <w:tcW w:w="1705" w:type="dxa"/>
            <w:vAlign w:val="bottom"/>
          </w:tcPr>
          <w:p w:rsidR="00584EAF" w:rsidRDefault="00584EAF" w:rsidP="00584EAF">
            <w:pPr>
              <w:jc w:val="right"/>
              <w:rPr>
                <w:rFonts w:ascii="Arial Narrow" w:hAnsi="Arial Narrow"/>
                <w:color w:val="000000"/>
                <w:sz w:val="20"/>
                <w:szCs w:val="20"/>
              </w:rPr>
            </w:pPr>
            <w:r>
              <w:rPr>
                <w:rFonts w:ascii="Arial Narrow" w:hAnsi="Arial Narrow"/>
                <w:color w:val="000000"/>
                <w:sz w:val="20"/>
                <w:szCs w:val="20"/>
              </w:rPr>
              <w:t>1,88%</w:t>
            </w:r>
          </w:p>
        </w:tc>
      </w:tr>
      <w:tr w:rsidR="00584EAF" w:rsidRPr="00C50091" w:rsidTr="00553F85">
        <w:tc>
          <w:tcPr>
            <w:tcW w:w="4365" w:type="dxa"/>
            <w:vMerge/>
          </w:tcPr>
          <w:p w:rsidR="00584EAF" w:rsidRPr="003B455E" w:rsidRDefault="00584EAF" w:rsidP="00584EAF">
            <w:pPr>
              <w:rPr>
                <w:rFonts w:cstheme="minorHAnsi"/>
              </w:rPr>
            </w:pPr>
          </w:p>
        </w:tc>
        <w:tc>
          <w:tcPr>
            <w:tcW w:w="1380" w:type="dxa"/>
            <w:vAlign w:val="center"/>
          </w:tcPr>
          <w:p w:rsidR="00584EAF" w:rsidRPr="00FF0B6E" w:rsidRDefault="00584EAF" w:rsidP="00584EAF">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584EAF" w:rsidRDefault="00584EAF" w:rsidP="00584EAF">
            <w:pPr>
              <w:jc w:val="center"/>
              <w:rPr>
                <w:rFonts w:ascii="Arial Narrow" w:hAnsi="Arial Narrow"/>
                <w:color w:val="000000"/>
                <w:sz w:val="20"/>
                <w:szCs w:val="20"/>
              </w:rPr>
            </w:pPr>
            <w:r>
              <w:rPr>
                <w:rFonts w:ascii="Arial Narrow" w:hAnsi="Arial Narrow"/>
                <w:color w:val="000000"/>
                <w:sz w:val="20"/>
                <w:szCs w:val="20"/>
              </w:rPr>
              <w:t>4,54%</w:t>
            </w:r>
          </w:p>
        </w:tc>
        <w:tc>
          <w:tcPr>
            <w:tcW w:w="1705" w:type="dxa"/>
            <w:vAlign w:val="bottom"/>
          </w:tcPr>
          <w:p w:rsidR="00584EAF" w:rsidRDefault="00584EAF" w:rsidP="00584EAF">
            <w:pPr>
              <w:jc w:val="right"/>
              <w:rPr>
                <w:rFonts w:ascii="Arial Narrow" w:hAnsi="Arial Narrow"/>
                <w:color w:val="000000"/>
                <w:sz w:val="20"/>
                <w:szCs w:val="20"/>
              </w:rPr>
            </w:pPr>
            <w:r>
              <w:rPr>
                <w:rFonts w:ascii="Arial Narrow" w:hAnsi="Arial Narrow"/>
                <w:color w:val="000000"/>
                <w:sz w:val="20"/>
                <w:szCs w:val="20"/>
              </w:rPr>
              <w:t>1,00%</w:t>
            </w:r>
          </w:p>
        </w:tc>
      </w:tr>
      <w:tr w:rsidR="00584EAF" w:rsidRPr="00C50091" w:rsidTr="008C4FD4">
        <w:tc>
          <w:tcPr>
            <w:tcW w:w="4365" w:type="dxa"/>
            <w:vMerge/>
          </w:tcPr>
          <w:p w:rsidR="00584EAF" w:rsidRPr="003B455E" w:rsidRDefault="00584EAF" w:rsidP="00584EAF">
            <w:pPr>
              <w:rPr>
                <w:rFonts w:cstheme="minorHAnsi"/>
              </w:rPr>
            </w:pPr>
          </w:p>
        </w:tc>
        <w:tc>
          <w:tcPr>
            <w:tcW w:w="1380" w:type="dxa"/>
            <w:vAlign w:val="bottom"/>
          </w:tcPr>
          <w:p w:rsidR="00584EAF" w:rsidRPr="00FF0B6E" w:rsidRDefault="00584EAF" w:rsidP="00584EAF">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584EAF" w:rsidRDefault="00584EAF" w:rsidP="00584EAF">
            <w:pPr>
              <w:jc w:val="center"/>
              <w:rPr>
                <w:rFonts w:ascii="Arial Narrow" w:hAnsi="Arial Narrow"/>
                <w:color w:val="000000"/>
                <w:sz w:val="20"/>
                <w:szCs w:val="20"/>
              </w:rPr>
            </w:pPr>
            <w:r>
              <w:rPr>
                <w:rFonts w:ascii="Arial Narrow" w:hAnsi="Arial Narrow"/>
                <w:color w:val="000000"/>
                <w:sz w:val="20"/>
                <w:szCs w:val="20"/>
              </w:rPr>
              <w:t>16,51%</w:t>
            </w:r>
          </w:p>
        </w:tc>
        <w:tc>
          <w:tcPr>
            <w:tcW w:w="1705" w:type="dxa"/>
            <w:vAlign w:val="bottom"/>
          </w:tcPr>
          <w:p w:rsidR="00584EAF" w:rsidRDefault="00584EAF" w:rsidP="00584EAF">
            <w:pPr>
              <w:jc w:val="right"/>
              <w:rPr>
                <w:rFonts w:ascii="Arial Narrow" w:hAnsi="Arial Narrow"/>
                <w:color w:val="000000"/>
                <w:sz w:val="20"/>
                <w:szCs w:val="20"/>
              </w:rPr>
            </w:pPr>
            <w:r>
              <w:rPr>
                <w:rFonts w:ascii="Arial Narrow" w:hAnsi="Arial Narrow"/>
                <w:color w:val="000000"/>
                <w:sz w:val="20"/>
                <w:szCs w:val="20"/>
              </w:rPr>
              <w:t>11,08%</w:t>
            </w:r>
          </w:p>
        </w:tc>
      </w:tr>
      <w:tr w:rsidR="00584EAF" w:rsidRPr="00C50091" w:rsidTr="00CD1ABD">
        <w:tc>
          <w:tcPr>
            <w:tcW w:w="4365" w:type="dxa"/>
            <w:vMerge/>
          </w:tcPr>
          <w:p w:rsidR="00584EAF" w:rsidRPr="003B455E" w:rsidRDefault="00584EAF" w:rsidP="00584EAF">
            <w:pPr>
              <w:rPr>
                <w:rFonts w:cstheme="minorHAnsi"/>
              </w:rPr>
            </w:pPr>
          </w:p>
        </w:tc>
        <w:tc>
          <w:tcPr>
            <w:tcW w:w="1380" w:type="dxa"/>
            <w:vAlign w:val="bottom"/>
          </w:tcPr>
          <w:p w:rsidR="00584EAF" w:rsidRPr="00FF0B6E" w:rsidRDefault="00584EAF" w:rsidP="00584EAF">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584EAF" w:rsidRDefault="00584EAF" w:rsidP="00584EAF">
            <w:pPr>
              <w:jc w:val="center"/>
              <w:rPr>
                <w:rFonts w:ascii="Arial Narrow" w:hAnsi="Arial Narrow"/>
                <w:color w:val="000000"/>
                <w:sz w:val="20"/>
                <w:szCs w:val="20"/>
              </w:rPr>
            </w:pPr>
            <w:r>
              <w:rPr>
                <w:rFonts w:ascii="Arial Narrow" w:hAnsi="Arial Narrow"/>
                <w:color w:val="000000"/>
                <w:sz w:val="20"/>
                <w:szCs w:val="20"/>
              </w:rPr>
              <w:t>15,54%</w:t>
            </w:r>
          </w:p>
        </w:tc>
        <w:tc>
          <w:tcPr>
            <w:tcW w:w="1705" w:type="dxa"/>
            <w:vAlign w:val="bottom"/>
          </w:tcPr>
          <w:p w:rsidR="00584EAF" w:rsidRDefault="00584EAF" w:rsidP="00584EAF">
            <w:pPr>
              <w:jc w:val="right"/>
              <w:rPr>
                <w:rFonts w:ascii="Arial Narrow" w:hAnsi="Arial Narrow"/>
                <w:color w:val="000000"/>
                <w:sz w:val="20"/>
                <w:szCs w:val="20"/>
              </w:rPr>
            </w:pPr>
            <w:r>
              <w:rPr>
                <w:rFonts w:ascii="Arial Narrow" w:hAnsi="Arial Narrow"/>
                <w:color w:val="000000"/>
                <w:sz w:val="20"/>
                <w:szCs w:val="20"/>
              </w:rPr>
              <w:t>6,03%</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r>
        <w:rPr>
          <w:rFonts w:cstheme="minorHAnsi"/>
        </w:rPr>
        <w:t>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AE61D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E61DA" w:rsidRPr="00AE61DA">
        <w:rPr>
          <w:rFonts w:cstheme="minorHAnsi"/>
        </w:rPr>
        <w:t>265 735,22</w:t>
      </w:r>
      <w:r w:rsidR="00AE61DA">
        <w:rPr>
          <w:rFonts w:cstheme="minorHAnsi"/>
        </w:rPr>
        <w:t xml:space="preserve"> </w:t>
      </w:r>
      <w:r w:rsidRPr="00C50091">
        <w:rPr>
          <w:rFonts w:cstheme="minorHAnsi"/>
        </w:rPr>
        <w:t>рублей.</w:t>
      </w:r>
    </w:p>
    <w:p w:rsidR="00236A0E" w:rsidRPr="00C50091" w:rsidRDefault="00236A0E" w:rsidP="00AE61D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AE61DA" w:rsidRPr="00AE61DA">
        <w:rPr>
          <w:rFonts w:cstheme="minorHAnsi"/>
        </w:rPr>
        <w:t>631</w:t>
      </w:r>
      <w:r w:rsidR="00AE61DA">
        <w:rPr>
          <w:rFonts w:cstheme="minorHAnsi"/>
        </w:rPr>
        <w:t> </w:t>
      </w:r>
      <w:r w:rsidR="00AE61DA" w:rsidRPr="00AE61DA">
        <w:rPr>
          <w:rFonts w:cstheme="minorHAnsi"/>
        </w:rPr>
        <w:t>652</w:t>
      </w:r>
      <w:r w:rsidR="00AE61DA">
        <w:rPr>
          <w:rFonts w:cstheme="minorHAnsi"/>
        </w:rPr>
        <w:t xml:space="preserve"> </w:t>
      </w:r>
      <w:r w:rsidR="00AE61DA" w:rsidRPr="00AE61DA">
        <w:rPr>
          <w:rFonts w:cstheme="minorHAnsi"/>
        </w:rPr>
        <w:t>625,76</w:t>
      </w:r>
      <w:r w:rsidR="00AE61DA">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3C94"/>
    <w:rsid w:val="00030B73"/>
    <w:rsid w:val="000E4E2A"/>
    <w:rsid w:val="001349D1"/>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84EAF"/>
    <w:rsid w:val="00593247"/>
    <w:rsid w:val="005C5C7F"/>
    <w:rsid w:val="005D5BFE"/>
    <w:rsid w:val="005D70A3"/>
    <w:rsid w:val="005E1294"/>
    <w:rsid w:val="00604E77"/>
    <w:rsid w:val="00631368"/>
    <w:rsid w:val="00665265"/>
    <w:rsid w:val="0067613D"/>
    <w:rsid w:val="0069136C"/>
    <w:rsid w:val="006A4C43"/>
    <w:rsid w:val="007113AF"/>
    <w:rsid w:val="007377F1"/>
    <w:rsid w:val="00760E1C"/>
    <w:rsid w:val="007B2483"/>
    <w:rsid w:val="007C4EFF"/>
    <w:rsid w:val="00832B67"/>
    <w:rsid w:val="008632E1"/>
    <w:rsid w:val="00871C13"/>
    <w:rsid w:val="00895562"/>
    <w:rsid w:val="00903000"/>
    <w:rsid w:val="00917E50"/>
    <w:rsid w:val="009822F6"/>
    <w:rsid w:val="00990901"/>
    <w:rsid w:val="009950EE"/>
    <w:rsid w:val="009D6DF6"/>
    <w:rsid w:val="00A012C7"/>
    <w:rsid w:val="00A20C1C"/>
    <w:rsid w:val="00A8250F"/>
    <w:rsid w:val="00A87791"/>
    <w:rsid w:val="00AA5468"/>
    <w:rsid w:val="00AE61DA"/>
    <w:rsid w:val="00AF44A5"/>
    <w:rsid w:val="00B5705D"/>
    <w:rsid w:val="00B63E63"/>
    <w:rsid w:val="00BA0B40"/>
    <w:rsid w:val="00BC1901"/>
    <w:rsid w:val="00C025F8"/>
    <w:rsid w:val="00C108A9"/>
    <w:rsid w:val="00C46094"/>
    <w:rsid w:val="00C95861"/>
    <w:rsid w:val="00CB7FAD"/>
    <w:rsid w:val="00CD0318"/>
    <w:rsid w:val="00D14C1D"/>
    <w:rsid w:val="00D40884"/>
    <w:rsid w:val="00D624EF"/>
    <w:rsid w:val="00D777A9"/>
    <w:rsid w:val="00DB7209"/>
    <w:rsid w:val="00E02646"/>
    <w:rsid w:val="00E36902"/>
    <w:rsid w:val="00E67A15"/>
    <w:rsid w:val="00E70E77"/>
    <w:rsid w:val="00F02B8B"/>
    <w:rsid w:val="00F05A24"/>
    <w:rsid w:val="00FA3B57"/>
    <w:rsid w:val="00FD447F"/>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17-46CA-8D13-E102DC6AE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0.13818090120377249</c:v>
                </c:pt>
                <c:pt idx="1">
                  <c:v>6.6409507251772942E-2</c:v>
                </c:pt>
                <c:pt idx="2">
                  <c:v>1.9509416975792015E-2</c:v>
                </c:pt>
              </c:numCache>
            </c:numRef>
          </c:val>
          <c:extLst>
            <c:ext xmlns:c16="http://schemas.microsoft.com/office/drawing/2014/chart" uri="{C3380CC4-5D6E-409C-BE32-E72D297353CC}">
              <c16:uniqueId val="{00000001-8517-46CA-8D13-E102DC6AE26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EC2F-EF59-4012-A76F-7A9A6382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80</cp:revision>
  <dcterms:created xsi:type="dcterms:W3CDTF">2022-10-11T08:38:00Z</dcterms:created>
  <dcterms:modified xsi:type="dcterms:W3CDTF">2025-02-10T13:12:00Z</dcterms:modified>
</cp:coreProperties>
</file>