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1139"/>
        <w:tblW w:w="10343"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2694"/>
        <w:gridCol w:w="1237"/>
        <w:gridCol w:w="747"/>
        <w:gridCol w:w="146"/>
        <w:gridCol w:w="1391"/>
        <w:gridCol w:w="1323"/>
        <w:gridCol w:w="1124"/>
        <w:gridCol w:w="318"/>
        <w:gridCol w:w="1363"/>
      </w:tblGrid>
      <w:tr w14:paraId="5BBE3AB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488970EE">
            <w:pPr>
              <w:pStyle w:val="11"/>
              <w:jc w:val="center"/>
            </w:pPr>
            <w:bookmarkStart w:id="2" w:name="_GoBack"/>
            <w:bookmarkEnd w:id="2"/>
            <w:bookmarkStart w:id="0" w:name="P1115"/>
            <w:bookmarkEnd w:id="0"/>
            <w:r>
              <w:t>Ключевой информационный документ</w:t>
            </w:r>
          </w:p>
        </w:tc>
      </w:tr>
      <w:tr w14:paraId="5CE308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2BE07486">
            <w:pPr>
              <w:pStyle w:val="11"/>
              <w:rPr>
                <w:sz w:val="4"/>
                <w:szCs w:val="4"/>
              </w:rPr>
            </w:pPr>
          </w:p>
        </w:tc>
      </w:tr>
      <w:tr w14:paraId="2FD0564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0CDA5A8C">
            <w:pPr>
              <w:pStyle w:val="11"/>
              <w:jc w:val="both"/>
              <w:outlineLvl w:val="1"/>
            </w:pPr>
            <w:r>
              <w:t>Раздел 1. Общие сведения</w:t>
            </w:r>
          </w:p>
        </w:tc>
      </w:tr>
      <w:tr w14:paraId="4DC4D37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668B663E">
            <w:pPr>
              <w:pStyle w:val="11"/>
              <w:jc w:val="both"/>
            </w:pPr>
            <w:r>
              <w:t>Ключевой информационный документ</w:t>
            </w:r>
          </w:p>
          <w:p w14:paraId="0CDE410D">
            <w:pPr>
              <w:pStyle w:val="11"/>
              <w:jc w:val="both"/>
            </w:pPr>
            <w:r>
              <w:t>по состоянию на 30.11.2022</w:t>
            </w:r>
          </w:p>
          <w:p w14:paraId="4572521C">
            <w:pPr>
              <w:pStyle w:val="11"/>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14:paraId="4D43BBF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12F14729">
            <w:pPr>
              <w:pStyle w:val="11"/>
              <w:jc w:val="both"/>
            </w:pPr>
            <w:r>
              <w:t>Интервальный паевой инвестиционный фонд рыночных финансовых инструментов</w:t>
            </w:r>
          </w:p>
        </w:tc>
      </w:tr>
      <w:tr w14:paraId="78A5A19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3A8E1AC4">
            <w:pPr>
              <w:pStyle w:val="11"/>
              <w:jc w:val="both"/>
            </w:pPr>
            <w:r>
              <w:t>“Инвестбаланс”</w:t>
            </w:r>
          </w:p>
        </w:tc>
      </w:tr>
      <w:tr w14:paraId="6CBBD94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053566F8">
            <w:pPr>
              <w:pStyle w:val="11"/>
              <w:jc w:val="both"/>
            </w:pPr>
            <w:r>
              <w:t>под управлением АО УК «Мой Капитал»</w:t>
            </w:r>
          </w:p>
        </w:tc>
      </w:tr>
      <w:tr w14:paraId="731C5F5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7D8BB143">
            <w:pPr>
              <w:pStyle w:val="11"/>
              <w:outlineLvl w:val="1"/>
            </w:pPr>
            <w:r>
              <w:t>Раздел 2. Внимание</w:t>
            </w:r>
          </w:p>
        </w:tc>
      </w:tr>
      <w:tr w14:paraId="7DDB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78" w:type="dxa"/>
            <w:gridSpan w:val="3"/>
            <w:tcBorders>
              <w:top w:val="nil"/>
              <w:left w:val="nil"/>
              <w:bottom w:val="nil"/>
              <w:right w:val="nil"/>
            </w:tcBorders>
          </w:tcPr>
          <w:p w14:paraId="228233CC">
            <w:pPr>
              <w:pStyle w:val="11"/>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pPr>
              <w:pStyle w:val="11"/>
              <w:ind w:left="74"/>
              <w:jc w:val="both"/>
            </w:pPr>
            <w:r>
              <w:t xml:space="preserve">2. </w:t>
            </w:r>
            <w:r>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46" w:type="dxa"/>
            <w:tcBorders>
              <w:top w:val="nil"/>
              <w:left w:val="nil"/>
              <w:bottom w:val="nil"/>
              <w:right w:val="nil"/>
            </w:tcBorders>
          </w:tcPr>
          <w:p w14:paraId="2AFA682A">
            <w:pPr>
              <w:pStyle w:val="11"/>
            </w:pPr>
          </w:p>
        </w:tc>
        <w:tc>
          <w:tcPr>
            <w:tcW w:w="5519" w:type="dxa"/>
            <w:gridSpan w:val="5"/>
            <w:tcBorders>
              <w:top w:val="nil"/>
              <w:left w:val="nil"/>
              <w:bottom w:val="nil"/>
              <w:right w:val="nil"/>
            </w:tcBorders>
          </w:tcPr>
          <w:p w14:paraId="32E25203">
            <w:pPr>
              <w:pStyle w:val="11"/>
              <w:spacing w:after="120"/>
              <w:jc w:val="both"/>
            </w:pPr>
            <w:r>
              <w:t xml:space="preserve">3.  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 </w:t>
            </w:r>
          </w:p>
          <w:p w14:paraId="637AECCC">
            <w:pPr>
              <w:pStyle w:val="11"/>
              <w:jc w:val="both"/>
            </w:pPr>
            <w:r>
              <w:t xml:space="preserve">4. </w:t>
            </w:r>
            <w:r>
              <w:rPr>
                <w:spacing w:val="-1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t xml:space="preserve"> </w:t>
            </w:r>
            <w:r>
              <w:fldChar w:fldCharType="begin"/>
            </w:r>
            <w:r>
              <w:instrText xml:space="preserve"> HYPERLINK "https://www.capital-am.ru/disclosure/funds/inbal/fund-rules" </w:instrText>
            </w:r>
            <w:r>
              <w:fldChar w:fldCharType="separate"/>
            </w:r>
            <w:r>
              <w:rPr>
                <w:rStyle w:val="6"/>
              </w:rPr>
              <w:t>https://www.capital-am.ru/disclosure/funds/inbal/</w:t>
            </w:r>
            <w:r>
              <w:rPr>
                <w:rStyle w:val="6"/>
                <w:lang w:val="en-US"/>
              </w:rPr>
              <w:t>fund</w:t>
            </w:r>
            <w:r>
              <w:rPr>
                <w:rStyle w:val="6"/>
              </w:rPr>
              <w:t>-</w:t>
            </w:r>
            <w:r>
              <w:rPr>
                <w:rStyle w:val="6"/>
                <w:lang w:val="en-US"/>
              </w:rPr>
              <w:t>rules</w:t>
            </w:r>
            <w:r>
              <w:rPr>
                <w:rStyle w:val="6"/>
                <w:lang w:val="en-US"/>
              </w:rPr>
              <w:fldChar w:fldCharType="end"/>
            </w:r>
            <w:r>
              <w:rPr>
                <w:rStyle w:val="6"/>
              </w:rPr>
              <w:t xml:space="preserve"> </w:t>
            </w:r>
            <w:r>
              <w:t>.</w:t>
            </w:r>
          </w:p>
        </w:tc>
      </w:tr>
      <w:tr w14:paraId="5B39245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5BF182F0">
            <w:pPr>
              <w:pStyle w:val="11"/>
              <w:outlineLvl w:val="1"/>
            </w:pPr>
            <w:r>
              <w:t>Раздел 3. Инвестиционная стратегия</w:t>
            </w:r>
          </w:p>
        </w:tc>
      </w:tr>
      <w:tr w14:paraId="4F03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78" w:type="dxa"/>
            <w:gridSpan w:val="3"/>
            <w:tcBorders>
              <w:top w:val="nil"/>
              <w:left w:val="nil"/>
              <w:bottom w:val="nil"/>
              <w:right w:val="nil"/>
            </w:tcBorders>
          </w:tcPr>
          <w:p w14:paraId="3C672E67">
            <w:pPr>
              <w:pStyle w:val="11"/>
              <w:numPr>
                <w:ilvl w:val="0"/>
                <w:numId w:val="1"/>
              </w:numPr>
              <w:ind w:left="358"/>
              <w:jc w:val="both"/>
            </w:pPr>
            <w:r>
              <w:rPr>
                <w:spacing w:val="-8"/>
              </w:rPr>
              <w:t>В настоящий момент ИПИФ рыночных финансовых инструментов «Инвестбаланс» представляет собой фонд акций и облигаций широкого рынка с акцентом на высоколиквидные бумаги первого эшелона</w:t>
            </w:r>
            <w:r>
              <w:t>.</w:t>
            </w:r>
          </w:p>
          <w:p w14:paraId="067AB0CD">
            <w:pPr>
              <w:pStyle w:val="11"/>
              <w:numPr>
                <w:ilvl w:val="0"/>
                <w:numId w:val="1"/>
              </w:numPr>
              <w:ind w:left="358"/>
              <w:jc w:val="both"/>
            </w:pPr>
            <w:r>
              <w:t>Активное управление.</w:t>
            </w:r>
          </w:p>
          <w:p w14:paraId="08F32F6B">
            <w:pPr>
              <w:pStyle w:val="11"/>
              <w:numPr>
                <w:ilvl w:val="0"/>
                <w:numId w:val="1"/>
              </w:numPr>
              <w:ind w:left="358"/>
              <w:jc w:val="both"/>
            </w:pPr>
            <w:r>
              <w:t>Активы паевого инвестиционного фонда инвестированы в 41 объект.</w:t>
            </w:r>
          </w:p>
        </w:tc>
        <w:tc>
          <w:tcPr>
            <w:tcW w:w="146" w:type="dxa"/>
            <w:tcBorders>
              <w:top w:val="nil"/>
              <w:left w:val="nil"/>
              <w:bottom w:val="nil"/>
              <w:right w:val="nil"/>
            </w:tcBorders>
          </w:tcPr>
          <w:p w14:paraId="746ECF45">
            <w:pPr>
              <w:pStyle w:val="11"/>
            </w:pPr>
          </w:p>
        </w:tc>
        <w:tc>
          <w:tcPr>
            <w:tcW w:w="5519" w:type="dxa"/>
            <w:gridSpan w:val="5"/>
            <w:tcBorders>
              <w:top w:val="nil"/>
              <w:left w:val="nil"/>
              <w:bottom w:val="nil"/>
              <w:right w:val="nil"/>
            </w:tcBorders>
          </w:tcPr>
          <w:p w14:paraId="5A127B22">
            <w:pPr>
              <w:pStyle w:val="11"/>
            </w:pPr>
            <w:r>
              <w:t>4. Крупнейшие объекты инвестирования в активах:</w:t>
            </w:r>
          </w:p>
          <w:tbl>
            <w:tblPr>
              <w:tblStyle w:val="3"/>
              <w:tblW w:w="5442" w:type="dxa"/>
              <w:tblInd w:w="0" w:type="dxa"/>
              <w:tblLayout w:type="fixed"/>
              <w:tblCellMar>
                <w:top w:w="0" w:type="dxa"/>
                <w:left w:w="108" w:type="dxa"/>
                <w:bottom w:w="0" w:type="dxa"/>
                <w:right w:w="108" w:type="dxa"/>
              </w:tblCellMar>
            </w:tblPr>
            <w:tblGrid>
              <w:gridCol w:w="2721"/>
              <w:gridCol w:w="1757"/>
              <w:gridCol w:w="964"/>
            </w:tblGrid>
            <w:tr w14:paraId="43E6AF27">
              <w:tblPrEx>
                <w:tblCellMar>
                  <w:top w:w="0" w:type="dxa"/>
                  <w:left w:w="108" w:type="dxa"/>
                  <w:bottom w:w="0" w:type="dxa"/>
                  <w:right w:w="108" w:type="dxa"/>
                </w:tblCellMar>
              </w:tblPrEx>
              <w:trPr>
                <w:trHeight w:val="333" w:hRule="atLeast"/>
              </w:trPr>
              <w:tc>
                <w:tcPr>
                  <w:tcW w:w="2721" w:type="dxa"/>
                  <w:tcBorders>
                    <w:top w:val="single" w:color="auto" w:sz="8" w:space="0"/>
                    <w:left w:val="single" w:color="auto" w:sz="8" w:space="0"/>
                    <w:bottom w:val="single" w:color="auto" w:sz="8" w:space="0"/>
                    <w:right w:val="single" w:color="auto" w:sz="8" w:space="0"/>
                  </w:tcBorders>
                  <w:shd w:val="clear" w:color="auto" w:fill="auto"/>
                  <w:vAlign w:val="center"/>
                </w:tcPr>
                <w:p w14:paraId="3D666002">
                  <w:pPr>
                    <w:spacing w:after="0" w:line="240" w:lineRule="auto"/>
                    <w:rPr>
                      <w:rFonts w:ascii="Calibri" w:hAnsi="Calibri" w:eastAsia="Times New Roman" w:cs="Calibri"/>
                      <w:b/>
                      <w:bCs/>
                      <w:color w:val="000000"/>
                      <w:sz w:val="20"/>
                      <w:szCs w:val="20"/>
                      <w:lang w:eastAsia="ru-RU"/>
                    </w:rPr>
                  </w:pPr>
                  <w:r>
                    <w:rPr>
                      <w:rFonts w:ascii="Calibri" w:hAnsi="Calibri" w:eastAsia="Times New Roman" w:cs="Calibri"/>
                      <w:b/>
                      <w:bCs/>
                      <w:color w:val="000000"/>
                      <w:sz w:val="20"/>
                      <w:szCs w:val="20"/>
                      <w:lang w:eastAsia="ru-RU"/>
                    </w:rPr>
                    <w:t>Наименование объекта инвестирования</w:t>
                  </w:r>
                </w:p>
              </w:tc>
              <w:tc>
                <w:tcPr>
                  <w:tcW w:w="1757" w:type="dxa"/>
                  <w:tcBorders>
                    <w:top w:val="single" w:color="auto" w:sz="8" w:space="0"/>
                    <w:left w:val="nil"/>
                    <w:bottom w:val="single" w:color="auto" w:sz="8" w:space="0"/>
                    <w:right w:val="single" w:color="auto" w:sz="8" w:space="0"/>
                  </w:tcBorders>
                  <w:shd w:val="clear" w:color="auto" w:fill="auto"/>
                  <w:vAlign w:val="center"/>
                </w:tcPr>
                <w:p w14:paraId="1B7DF7E2">
                  <w:pPr>
                    <w:spacing w:after="0" w:line="240" w:lineRule="auto"/>
                    <w:rPr>
                      <w:rFonts w:ascii="Calibri" w:hAnsi="Calibri" w:eastAsia="Times New Roman" w:cs="Calibri"/>
                      <w:b/>
                      <w:bCs/>
                      <w:color w:val="000000"/>
                      <w:sz w:val="20"/>
                      <w:szCs w:val="20"/>
                      <w:lang w:eastAsia="ru-RU"/>
                    </w:rPr>
                  </w:pPr>
                  <w:r>
                    <w:rPr>
                      <w:rFonts w:ascii="Calibri" w:hAnsi="Calibri" w:eastAsia="Times New Roman" w:cs="Calibri"/>
                      <w:b/>
                      <w:bCs/>
                      <w:color w:val="000000"/>
                      <w:sz w:val="20"/>
                      <w:szCs w:val="20"/>
                      <w:lang w:val="en-US" w:eastAsia="ru-RU"/>
                    </w:rPr>
                    <w:t>ISIN</w:t>
                  </w:r>
                </w:p>
              </w:tc>
              <w:tc>
                <w:tcPr>
                  <w:tcW w:w="964" w:type="dxa"/>
                  <w:tcBorders>
                    <w:top w:val="single" w:color="auto" w:sz="8" w:space="0"/>
                    <w:left w:val="nil"/>
                    <w:bottom w:val="single" w:color="auto" w:sz="8" w:space="0"/>
                    <w:right w:val="single" w:color="auto" w:sz="8" w:space="0"/>
                  </w:tcBorders>
                  <w:shd w:val="clear" w:color="auto" w:fill="auto"/>
                  <w:vAlign w:val="center"/>
                </w:tcPr>
                <w:p w14:paraId="4A9B53B2">
                  <w:pPr>
                    <w:spacing w:after="0" w:line="240" w:lineRule="auto"/>
                    <w:jc w:val="center"/>
                    <w:rPr>
                      <w:rFonts w:ascii="Calibri" w:hAnsi="Calibri" w:eastAsia="Times New Roman" w:cs="Calibri"/>
                      <w:b/>
                      <w:bCs/>
                      <w:color w:val="000000"/>
                      <w:sz w:val="20"/>
                      <w:szCs w:val="20"/>
                      <w:lang w:eastAsia="ru-RU"/>
                    </w:rPr>
                  </w:pPr>
                  <w:r>
                    <w:rPr>
                      <w:rFonts w:ascii="Calibri" w:hAnsi="Calibri" w:eastAsia="Times New Roman" w:cs="Calibri"/>
                      <w:b/>
                      <w:bCs/>
                      <w:color w:val="000000"/>
                      <w:sz w:val="20"/>
                      <w:szCs w:val="20"/>
                      <w:lang w:eastAsia="ru-RU"/>
                    </w:rPr>
                    <w:t>Доля от активов, %</w:t>
                  </w:r>
                </w:p>
              </w:tc>
            </w:tr>
            <w:tr w14:paraId="79E95E21">
              <w:tblPrEx>
                <w:tblCellMar>
                  <w:top w:w="0" w:type="dxa"/>
                  <w:left w:w="108" w:type="dxa"/>
                  <w:bottom w:w="0" w:type="dxa"/>
                  <w:right w:w="108" w:type="dxa"/>
                </w:tblCellMar>
              </w:tblPrEx>
              <w:trPr>
                <w:trHeight w:val="114" w:hRule="atLeast"/>
              </w:trPr>
              <w:tc>
                <w:tcPr>
                  <w:tcW w:w="2721" w:type="dxa"/>
                  <w:tcBorders>
                    <w:top w:val="nil"/>
                    <w:left w:val="single" w:color="auto" w:sz="8" w:space="0"/>
                    <w:bottom w:val="single" w:color="auto" w:sz="8" w:space="0"/>
                    <w:right w:val="single" w:color="auto" w:sz="8" w:space="0"/>
                  </w:tcBorders>
                  <w:shd w:val="clear" w:color="auto" w:fill="auto"/>
                </w:tcPr>
                <w:p w14:paraId="03DA3CB2">
                  <w:pPr>
                    <w:spacing w:after="0" w:line="240" w:lineRule="auto"/>
                    <w:rPr>
                      <w:rFonts w:ascii="Calibri" w:hAnsi="Calibri" w:eastAsia="Times New Roman" w:cs="Calibri"/>
                      <w:color w:val="000000"/>
                      <w:sz w:val="20"/>
                      <w:szCs w:val="20"/>
                      <w:highlight w:val="red"/>
                      <w:lang w:eastAsia="ru-RU"/>
                    </w:rPr>
                  </w:pPr>
                  <w:r>
                    <w:t>Министерство финансов Российской Федерации №24021RMFS</w:t>
                  </w:r>
                </w:p>
              </w:tc>
              <w:tc>
                <w:tcPr>
                  <w:tcW w:w="1757" w:type="dxa"/>
                  <w:tcBorders>
                    <w:top w:val="nil"/>
                    <w:left w:val="nil"/>
                    <w:bottom w:val="single" w:color="auto" w:sz="8" w:space="0"/>
                    <w:right w:val="single" w:color="auto" w:sz="8" w:space="0"/>
                  </w:tcBorders>
                  <w:shd w:val="clear" w:color="auto" w:fill="auto"/>
                </w:tcPr>
                <w:p w14:paraId="66571DC0">
                  <w:pPr>
                    <w:spacing w:after="0" w:line="240" w:lineRule="auto"/>
                    <w:rPr>
                      <w:rFonts w:ascii="Arial" w:hAnsi="Arial" w:eastAsia="Times New Roman" w:cs="Arial"/>
                      <w:color w:val="000000"/>
                      <w:sz w:val="20"/>
                      <w:szCs w:val="20"/>
                      <w:highlight w:val="red"/>
                      <w:lang w:eastAsia="ru-RU"/>
                    </w:rPr>
                  </w:pPr>
                  <w:r>
                    <w:t>RU000A0JXB41</w:t>
                  </w:r>
                </w:p>
              </w:tc>
              <w:tc>
                <w:tcPr>
                  <w:tcW w:w="964" w:type="dxa"/>
                  <w:tcBorders>
                    <w:top w:val="nil"/>
                    <w:left w:val="nil"/>
                    <w:bottom w:val="single" w:color="auto" w:sz="8" w:space="0"/>
                    <w:right w:val="single" w:color="auto" w:sz="8" w:space="0"/>
                  </w:tcBorders>
                  <w:shd w:val="clear" w:color="auto" w:fill="auto"/>
                </w:tcPr>
                <w:p w14:paraId="371D4B95">
                  <w:pPr>
                    <w:spacing w:after="0" w:line="240" w:lineRule="auto"/>
                    <w:jc w:val="center"/>
                    <w:rPr>
                      <w:rFonts w:ascii="Calibri" w:hAnsi="Calibri" w:eastAsia="Times New Roman" w:cs="Calibri"/>
                      <w:color w:val="000000"/>
                      <w:sz w:val="20"/>
                      <w:szCs w:val="20"/>
                      <w:highlight w:val="red"/>
                      <w:lang w:eastAsia="ru-RU"/>
                    </w:rPr>
                  </w:pPr>
                  <w:r>
                    <w:t xml:space="preserve"> 24,13 </w:t>
                  </w:r>
                </w:p>
              </w:tc>
            </w:tr>
            <w:tr w14:paraId="7E4170BC">
              <w:tblPrEx>
                <w:tblCellMar>
                  <w:top w:w="0" w:type="dxa"/>
                  <w:left w:w="108" w:type="dxa"/>
                  <w:bottom w:w="0" w:type="dxa"/>
                  <w:right w:w="108" w:type="dxa"/>
                </w:tblCellMar>
              </w:tblPrEx>
              <w:trPr>
                <w:trHeight w:val="114" w:hRule="atLeast"/>
              </w:trPr>
              <w:tc>
                <w:tcPr>
                  <w:tcW w:w="2721" w:type="dxa"/>
                  <w:tcBorders>
                    <w:top w:val="nil"/>
                    <w:left w:val="single" w:color="auto" w:sz="8" w:space="0"/>
                    <w:bottom w:val="single" w:color="auto" w:sz="8" w:space="0"/>
                    <w:right w:val="single" w:color="auto" w:sz="8" w:space="0"/>
                  </w:tcBorders>
                  <w:shd w:val="clear" w:color="auto" w:fill="auto"/>
                </w:tcPr>
                <w:p w14:paraId="5FAC6F3B">
                  <w:pPr>
                    <w:spacing w:after="0" w:line="240" w:lineRule="auto"/>
                    <w:rPr>
                      <w:rFonts w:ascii="Calibri" w:hAnsi="Calibri" w:cs="Calibri"/>
                      <w:b/>
                      <w:bCs/>
                      <w:color w:val="000000"/>
                      <w:sz w:val="20"/>
                      <w:szCs w:val="20"/>
                      <w:highlight w:val="red"/>
                    </w:rPr>
                  </w:pPr>
                  <w:r>
                    <w:t>ПАО "Сбербанк" ао</w:t>
                  </w:r>
                </w:p>
              </w:tc>
              <w:tc>
                <w:tcPr>
                  <w:tcW w:w="1757" w:type="dxa"/>
                  <w:tcBorders>
                    <w:top w:val="nil"/>
                    <w:left w:val="nil"/>
                    <w:bottom w:val="single" w:color="auto" w:sz="8" w:space="0"/>
                    <w:right w:val="single" w:color="auto" w:sz="8" w:space="0"/>
                  </w:tcBorders>
                  <w:shd w:val="clear" w:color="auto" w:fill="auto"/>
                </w:tcPr>
                <w:p w14:paraId="753407DE">
                  <w:pPr>
                    <w:spacing w:after="0" w:line="240" w:lineRule="auto"/>
                    <w:rPr>
                      <w:rFonts w:ascii="Calibri" w:hAnsi="Calibri" w:cs="Calibri"/>
                      <w:color w:val="000000"/>
                      <w:sz w:val="20"/>
                      <w:szCs w:val="20"/>
                      <w:highlight w:val="red"/>
                    </w:rPr>
                  </w:pPr>
                  <w:r>
                    <w:t>RU0009029540</w:t>
                  </w:r>
                </w:p>
              </w:tc>
              <w:tc>
                <w:tcPr>
                  <w:tcW w:w="964" w:type="dxa"/>
                  <w:tcBorders>
                    <w:top w:val="nil"/>
                    <w:left w:val="nil"/>
                    <w:bottom w:val="single" w:color="auto" w:sz="8" w:space="0"/>
                    <w:right w:val="single" w:color="auto" w:sz="8" w:space="0"/>
                  </w:tcBorders>
                  <w:shd w:val="clear" w:color="auto" w:fill="auto"/>
                </w:tcPr>
                <w:p w14:paraId="681EBCE4">
                  <w:pPr>
                    <w:spacing w:after="0" w:line="240" w:lineRule="auto"/>
                    <w:jc w:val="center"/>
                    <w:rPr>
                      <w:rFonts w:ascii="Calibri" w:hAnsi="Calibri" w:cs="Calibri"/>
                      <w:color w:val="000000"/>
                      <w:sz w:val="20"/>
                      <w:szCs w:val="20"/>
                      <w:highlight w:val="red"/>
                    </w:rPr>
                  </w:pPr>
                  <w:r>
                    <w:t xml:space="preserve"> 7,45 </w:t>
                  </w:r>
                </w:p>
              </w:tc>
            </w:tr>
            <w:tr w14:paraId="24B23156">
              <w:tblPrEx>
                <w:tblCellMar>
                  <w:top w:w="0" w:type="dxa"/>
                  <w:left w:w="108" w:type="dxa"/>
                  <w:bottom w:w="0" w:type="dxa"/>
                  <w:right w:w="108" w:type="dxa"/>
                </w:tblCellMar>
              </w:tblPrEx>
              <w:trPr>
                <w:trHeight w:val="114" w:hRule="atLeast"/>
              </w:trPr>
              <w:tc>
                <w:tcPr>
                  <w:tcW w:w="2721" w:type="dxa"/>
                  <w:tcBorders>
                    <w:top w:val="nil"/>
                    <w:left w:val="single" w:color="auto" w:sz="8" w:space="0"/>
                    <w:bottom w:val="single" w:color="auto" w:sz="8" w:space="0"/>
                    <w:right w:val="single" w:color="auto" w:sz="8" w:space="0"/>
                  </w:tcBorders>
                  <w:shd w:val="clear" w:color="auto" w:fill="auto"/>
                </w:tcPr>
                <w:p w14:paraId="5F70DD03">
                  <w:pPr>
                    <w:spacing w:after="0" w:line="240" w:lineRule="auto"/>
                    <w:rPr>
                      <w:rFonts w:ascii="Calibri" w:hAnsi="Calibri" w:cs="Calibri"/>
                      <w:b/>
                      <w:bCs/>
                      <w:color w:val="000000"/>
                      <w:sz w:val="20"/>
                      <w:szCs w:val="20"/>
                      <w:highlight w:val="red"/>
                    </w:rPr>
                  </w:pPr>
                  <w:r>
                    <w:t>ПАО "НК ЛУКОЙЛ" ао</w:t>
                  </w:r>
                </w:p>
              </w:tc>
              <w:tc>
                <w:tcPr>
                  <w:tcW w:w="1757" w:type="dxa"/>
                  <w:tcBorders>
                    <w:top w:val="nil"/>
                    <w:left w:val="nil"/>
                    <w:bottom w:val="single" w:color="auto" w:sz="8" w:space="0"/>
                    <w:right w:val="single" w:color="auto" w:sz="8" w:space="0"/>
                  </w:tcBorders>
                  <w:shd w:val="clear" w:color="auto" w:fill="auto"/>
                </w:tcPr>
                <w:p w14:paraId="07DBB3AE">
                  <w:pPr>
                    <w:spacing w:after="0" w:line="240" w:lineRule="auto"/>
                    <w:rPr>
                      <w:rFonts w:ascii="Calibri" w:hAnsi="Calibri" w:cs="Calibri"/>
                      <w:color w:val="000000"/>
                      <w:sz w:val="20"/>
                      <w:szCs w:val="20"/>
                      <w:highlight w:val="red"/>
                    </w:rPr>
                  </w:pPr>
                  <w:r>
                    <w:t>RU0009024277</w:t>
                  </w:r>
                </w:p>
              </w:tc>
              <w:tc>
                <w:tcPr>
                  <w:tcW w:w="964" w:type="dxa"/>
                  <w:tcBorders>
                    <w:top w:val="nil"/>
                    <w:left w:val="nil"/>
                    <w:bottom w:val="single" w:color="auto" w:sz="8" w:space="0"/>
                    <w:right w:val="single" w:color="auto" w:sz="8" w:space="0"/>
                  </w:tcBorders>
                  <w:shd w:val="clear" w:color="auto" w:fill="auto"/>
                </w:tcPr>
                <w:p w14:paraId="1288C9CB">
                  <w:pPr>
                    <w:spacing w:after="0" w:line="240" w:lineRule="auto"/>
                    <w:jc w:val="center"/>
                    <w:rPr>
                      <w:rFonts w:ascii="Calibri" w:hAnsi="Calibri" w:cs="Calibri"/>
                      <w:color w:val="000000"/>
                      <w:sz w:val="20"/>
                      <w:szCs w:val="20"/>
                      <w:highlight w:val="red"/>
                    </w:rPr>
                  </w:pPr>
                  <w:r>
                    <w:t xml:space="preserve"> 6,54 </w:t>
                  </w:r>
                </w:p>
              </w:tc>
            </w:tr>
            <w:tr w14:paraId="45EA09CF">
              <w:tblPrEx>
                <w:tblCellMar>
                  <w:top w:w="0" w:type="dxa"/>
                  <w:left w:w="108" w:type="dxa"/>
                  <w:bottom w:w="0" w:type="dxa"/>
                  <w:right w:w="108" w:type="dxa"/>
                </w:tblCellMar>
              </w:tblPrEx>
              <w:trPr>
                <w:trHeight w:val="114" w:hRule="atLeast"/>
              </w:trPr>
              <w:tc>
                <w:tcPr>
                  <w:tcW w:w="2721" w:type="dxa"/>
                  <w:tcBorders>
                    <w:top w:val="nil"/>
                    <w:left w:val="single" w:color="auto" w:sz="8" w:space="0"/>
                    <w:bottom w:val="single" w:color="auto" w:sz="8" w:space="0"/>
                    <w:right w:val="single" w:color="auto" w:sz="8" w:space="0"/>
                  </w:tcBorders>
                  <w:shd w:val="clear" w:color="auto" w:fill="auto"/>
                </w:tcPr>
                <w:p w14:paraId="631B79BF">
                  <w:pPr>
                    <w:spacing w:after="0" w:line="240" w:lineRule="auto"/>
                    <w:rPr>
                      <w:rFonts w:ascii="Calibri" w:hAnsi="Calibri" w:cs="Calibri"/>
                      <w:b/>
                      <w:bCs/>
                      <w:color w:val="000000"/>
                      <w:sz w:val="20"/>
                      <w:szCs w:val="20"/>
                      <w:highlight w:val="red"/>
                    </w:rPr>
                  </w:pPr>
                  <w:r>
                    <w:t>ПАО "Газпром" ао</w:t>
                  </w:r>
                </w:p>
              </w:tc>
              <w:tc>
                <w:tcPr>
                  <w:tcW w:w="1757" w:type="dxa"/>
                  <w:tcBorders>
                    <w:top w:val="nil"/>
                    <w:left w:val="nil"/>
                    <w:bottom w:val="single" w:color="auto" w:sz="8" w:space="0"/>
                    <w:right w:val="single" w:color="auto" w:sz="8" w:space="0"/>
                  </w:tcBorders>
                  <w:shd w:val="clear" w:color="auto" w:fill="auto"/>
                </w:tcPr>
                <w:p w14:paraId="301A757F">
                  <w:pPr>
                    <w:spacing w:after="0" w:line="240" w:lineRule="auto"/>
                    <w:rPr>
                      <w:rFonts w:ascii="Calibri" w:hAnsi="Calibri" w:cs="Calibri"/>
                      <w:color w:val="000000"/>
                      <w:sz w:val="20"/>
                      <w:szCs w:val="20"/>
                      <w:highlight w:val="red"/>
                    </w:rPr>
                  </w:pPr>
                  <w:r>
                    <w:t>RU0007661625</w:t>
                  </w:r>
                </w:p>
              </w:tc>
              <w:tc>
                <w:tcPr>
                  <w:tcW w:w="964" w:type="dxa"/>
                  <w:tcBorders>
                    <w:top w:val="nil"/>
                    <w:left w:val="nil"/>
                    <w:bottom w:val="single" w:color="auto" w:sz="8" w:space="0"/>
                    <w:right w:val="single" w:color="auto" w:sz="8" w:space="0"/>
                  </w:tcBorders>
                  <w:shd w:val="clear" w:color="auto" w:fill="auto"/>
                </w:tcPr>
                <w:p w14:paraId="021A4C34">
                  <w:pPr>
                    <w:spacing w:after="0" w:line="240" w:lineRule="auto"/>
                    <w:jc w:val="center"/>
                    <w:rPr>
                      <w:rFonts w:ascii="Calibri" w:hAnsi="Calibri" w:cs="Calibri"/>
                      <w:color w:val="000000"/>
                      <w:sz w:val="20"/>
                      <w:szCs w:val="20"/>
                      <w:highlight w:val="red"/>
                    </w:rPr>
                  </w:pPr>
                  <w:r>
                    <w:t xml:space="preserve"> 6,28 </w:t>
                  </w:r>
                </w:p>
              </w:tc>
            </w:tr>
            <w:tr w14:paraId="4E7571C0">
              <w:tblPrEx>
                <w:tblCellMar>
                  <w:top w:w="0" w:type="dxa"/>
                  <w:left w:w="108" w:type="dxa"/>
                  <w:bottom w:w="0" w:type="dxa"/>
                  <w:right w:w="108" w:type="dxa"/>
                </w:tblCellMar>
              </w:tblPrEx>
              <w:trPr>
                <w:trHeight w:val="114" w:hRule="atLeast"/>
              </w:trPr>
              <w:tc>
                <w:tcPr>
                  <w:tcW w:w="2721" w:type="dxa"/>
                  <w:tcBorders>
                    <w:top w:val="single" w:color="auto" w:sz="8" w:space="0"/>
                    <w:left w:val="single" w:color="auto" w:sz="8" w:space="0"/>
                    <w:bottom w:val="single" w:color="auto" w:sz="8" w:space="0"/>
                    <w:right w:val="single" w:color="auto" w:sz="8" w:space="0"/>
                  </w:tcBorders>
                  <w:shd w:val="clear" w:color="auto" w:fill="auto"/>
                </w:tcPr>
                <w:p w14:paraId="08E9B0B7">
                  <w:pPr>
                    <w:spacing w:after="0" w:line="240" w:lineRule="auto"/>
                    <w:rPr>
                      <w:rFonts w:ascii="Calibri" w:hAnsi="Calibri" w:cs="Calibri"/>
                      <w:b/>
                      <w:bCs/>
                      <w:color w:val="000000"/>
                      <w:sz w:val="20"/>
                      <w:szCs w:val="20"/>
                      <w:highlight w:val="red"/>
                    </w:rPr>
                  </w:pPr>
                  <w:r>
                    <w:t>АО "СТМ" гос. рег. 4B02-02-55323-E-001P</w:t>
                  </w:r>
                  <w:r>
                    <w:tab/>
                  </w:r>
                </w:p>
              </w:tc>
              <w:tc>
                <w:tcPr>
                  <w:tcW w:w="1757" w:type="dxa"/>
                  <w:tcBorders>
                    <w:top w:val="single" w:color="auto" w:sz="8" w:space="0"/>
                    <w:left w:val="nil"/>
                    <w:bottom w:val="single" w:color="auto" w:sz="8" w:space="0"/>
                    <w:right w:val="single" w:color="auto" w:sz="8" w:space="0"/>
                  </w:tcBorders>
                  <w:shd w:val="clear" w:color="auto" w:fill="auto"/>
                </w:tcPr>
                <w:p w14:paraId="082D0E3D">
                  <w:pPr>
                    <w:spacing w:after="0" w:line="240" w:lineRule="auto"/>
                    <w:rPr>
                      <w:rFonts w:ascii="Calibri" w:hAnsi="Calibri" w:cs="Calibri"/>
                      <w:color w:val="000000"/>
                      <w:sz w:val="20"/>
                      <w:szCs w:val="20"/>
                      <w:highlight w:val="red"/>
                    </w:rPr>
                  </w:pPr>
                  <w:r>
                    <w:t>RU000A103G00</w:t>
                  </w:r>
                </w:p>
              </w:tc>
              <w:tc>
                <w:tcPr>
                  <w:tcW w:w="964" w:type="dxa"/>
                  <w:tcBorders>
                    <w:top w:val="single" w:color="auto" w:sz="8" w:space="0"/>
                    <w:left w:val="nil"/>
                    <w:bottom w:val="single" w:color="auto" w:sz="8" w:space="0"/>
                    <w:right w:val="single" w:color="auto" w:sz="8" w:space="0"/>
                  </w:tcBorders>
                  <w:shd w:val="clear" w:color="auto" w:fill="auto"/>
                </w:tcPr>
                <w:p w14:paraId="4387DEA6">
                  <w:pPr>
                    <w:spacing w:after="0" w:line="240" w:lineRule="auto"/>
                    <w:jc w:val="center"/>
                    <w:rPr>
                      <w:rFonts w:ascii="Calibri" w:hAnsi="Calibri" w:cs="Calibri"/>
                      <w:color w:val="000000"/>
                      <w:sz w:val="20"/>
                      <w:szCs w:val="20"/>
                    </w:rPr>
                  </w:pPr>
                  <w:r>
                    <w:t xml:space="preserve"> 6,03 </w:t>
                  </w:r>
                </w:p>
              </w:tc>
            </w:tr>
          </w:tbl>
          <w:p w14:paraId="183F49EC">
            <w:pPr>
              <w:pStyle w:val="11"/>
              <w:rPr>
                <w:sz w:val="4"/>
                <w:szCs w:val="4"/>
              </w:rPr>
            </w:pPr>
          </w:p>
        </w:tc>
      </w:tr>
      <w:tr w14:paraId="1B3AE2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single" w:color="auto" w:sz="4" w:space="0"/>
              <w:right w:val="nil"/>
            </w:tcBorders>
          </w:tcPr>
          <w:p w14:paraId="7FC09C58">
            <w:pPr>
              <w:pStyle w:val="11"/>
              <w:jc w:val="both"/>
              <w:outlineLvl w:val="1"/>
            </w:pPr>
            <w:r>
              <w:t>Раздел 4. Основные инвестиционные риски</w:t>
            </w:r>
          </w:p>
        </w:tc>
      </w:tr>
      <w:tr w14:paraId="1362A277">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94" w:type="dxa"/>
            <w:tcBorders>
              <w:top w:val="single" w:color="auto" w:sz="4" w:space="0"/>
              <w:left w:val="single" w:color="auto" w:sz="4" w:space="0"/>
              <w:bottom w:val="single" w:color="auto" w:sz="4" w:space="0"/>
              <w:right w:val="single" w:color="auto" w:sz="4" w:space="0"/>
            </w:tcBorders>
          </w:tcPr>
          <w:p w14:paraId="3D1D2A26">
            <w:pPr>
              <w:pStyle w:val="11"/>
              <w:jc w:val="center"/>
            </w:pPr>
            <w:r>
              <w:t>Вид риска</w:t>
            </w:r>
          </w:p>
        </w:tc>
        <w:tc>
          <w:tcPr>
            <w:tcW w:w="3521" w:type="dxa"/>
            <w:gridSpan w:val="4"/>
            <w:tcBorders>
              <w:top w:val="single" w:color="auto" w:sz="4" w:space="0"/>
              <w:left w:val="single" w:color="auto" w:sz="4" w:space="0"/>
              <w:bottom w:val="single" w:color="auto" w:sz="4" w:space="0"/>
              <w:right w:val="single" w:color="auto" w:sz="4" w:space="0"/>
            </w:tcBorders>
          </w:tcPr>
          <w:p w14:paraId="22E6B7B1">
            <w:pPr>
              <w:pStyle w:val="11"/>
              <w:jc w:val="center"/>
            </w:pPr>
            <w:r>
              <w:t>Вероятность реализации риска</w:t>
            </w:r>
          </w:p>
        </w:tc>
        <w:tc>
          <w:tcPr>
            <w:tcW w:w="4128" w:type="dxa"/>
            <w:gridSpan w:val="4"/>
            <w:tcBorders>
              <w:top w:val="single" w:color="auto" w:sz="4" w:space="0"/>
              <w:left w:val="single" w:color="auto" w:sz="4" w:space="0"/>
              <w:bottom w:val="single" w:color="auto" w:sz="4" w:space="0"/>
              <w:right w:val="single" w:color="auto" w:sz="4" w:space="0"/>
            </w:tcBorders>
          </w:tcPr>
          <w:p w14:paraId="0821CA82">
            <w:pPr>
              <w:pStyle w:val="11"/>
              <w:jc w:val="center"/>
            </w:pPr>
            <w:r>
              <w:t>Объем потерь при реализации риска</w:t>
            </w:r>
          </w:p>
        </w:tc>
      </w:tr>
      <w:tr w14:paraId="0F6C401B">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94" w:type="dxa"/>
            <w:tcBorders>
              <w:top w:val="single" w:color="auto" w:sz="4" w:space="0"/>
              <w:left w:val="single" w:color="auto" w:sz="4" w:space="0"/>
              <w:bottom w:val="single" w:color="auto" w:sz="4" w:space="0"/>
              <w:right w:val="single" w:color="auto" w:sz="4" w:space="0"/>
            </w:tcBorders>
          </w:tcPr>
          <w:p w14:paraId="49FF5C69">
            <w:pPr>
              <w:pStyle w:val="11"/>
              <w:jc w:val="center"/>
            </w:pPr>
            <w:r>
              <w:t>Рыночный</w:t>
            </w:r>
          </w:p>
        </w:tc>
        <w:tc>
          <w:tcPr>
            <w:tcW w:w="3521" w:type="dxa"/>
            <w:gridSpan w:val="4"/>
            <w:tcBorders>
              <w:top w:val="single" w:color="auto" w:sz="4" w:space="0"/>
              <w:left w:val="single" w:color="auto" w:sz="4" w:space="0"/>
              <w:bottom w:val="single" w:color="auto" w:sz="4" w:space="0"/>
              <w:right w:val="single" w:color="auto" w:sz="4" w:space="0"/>
            </w:tcBorders>
          </w:tcPr>
          <w:p w14:paraId="6489164A">
            <w:pPr>
              <w:pStyle w:val="11"/>
              <w:jc w:val="center"/>
            </w:pPr>
            <w:r>
              <w:t>средняя</w:t>
            </w:r>
          </w:p>
        </w:tc>
        <w:tc>
          <w:tcPr>
            <w:tcW w:w="4128" w:type="dxa"/>
            <w:gridSpan w:val="4"/>
            <w:tcBorders>
              <w:top w:val="single" w:color="auto" w:sz="4" w:space="0"/>
              <w:left w:val="single" w:color="auto" w:sz="4" w:space="0"/>
              <w:bottom w:val="single" w:color="auto" w:sz="4" w:space="0"/>
              <w:right w:val="single" w:color="auto" w:sz="4" w:space="0"/>
            </w:tcBorders>
          </w:tcPr>
          <w:p w14:paraId="7A28EF2B">
            <w:pPr>
              <w:pStyle w:val="11"/>
              <w:jc w:val="center"/>
            </w:pPr>
            <w:r>
              <w:t>высокий</w:t>
            </w:r>
          </w:p>
        </w:tc>
      </w:tr>
      <w:tr w14:paraId="71B463B6">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94" w:type="dxa"/>
            <w:tcBorders>
              <w:top w:val="single" w:color="auto" w:sz="4" w:space="0"/>
              <w:left w:val="single" w:color="auto" w:sz="4" w:space="0"/>
              <w:bottom w:val="single" w:color="auto" w:sz="4" w:space="0"/>
              <w:right w:val="single" w:color="auto" w:sz="4" w:space="0"/>
            </w:tcBorders>
          </w:tcPr>
          <w:p w14:paraId="46E40C79">
            <w:pPr>
              <w:pStyle w:val="11"/>
              <w:jc w:val="center"/>
            </w:pPr>
            <w:r>
              <w:t>Кредитный риск</w:t>
            </w:r>
          </w:p>
        </w:tc>
        <w:tc>
          <w:tcPr>
            <w:tcW w:w="3521" w:type="dxa"/>
            <w:gridSpan w:val="4"/>
            <w:tcBorders>
              <w:top w:val="single" w:color="auto" w:sz="4" w:space="0"/>
              <w:left w:val="single" w:color="auto" w:sz="4" w:space="0"/>
              <w:bottom w:val="single" w:color="auto" w:sz="4" w:space="0"/>
              <w:right w:val="single" w:color="auto" w:sz="4" w:space="0"/>
            </w:tcBorders>
          </w:tcPr>
          <w:p w14:paraId="35BF4E6E">
            <w:pPr>
              <w:pStyle w:val="11"/>
              <w:jc w:val="center"/>
            </w:pPr>
            <w:r>
              <w:t>низкая</w:t>
            </w:r>
          </w:p>
        </w:tc>
        <w:tc>
          <w:tcPr>
            <w:tcW w:w="4128" w:type="dxa"/>
            <w:gridSpan w:val="4"/>
            <w:tcBorders>
              <w:top w:val="single" w:color="auto" w:sz="4" w:space="0"/>
              <w:left w:val="single" w:color="auto" w:sz="4" w:space="0"/>
              <w:bottom w:val="single" w:color="auto" w:sz="4" w:space="0"/>
              <w:right w:val="single" w:color="auto" w:sz="4" w:space="0"/>
            </w:tcBorders>
          </w:tcPr>
          <w:p w14:paraId="0730AEF3">
            <w:pPr>
              <w:pStyle w:val="11"/>
              <w:jc w:val="center"/>
            </w:pPr>
            <w:r>
              <w:t>высокий</w:t>
            </w:r>
          </w:p>
        </w:tc>
      </w:tr>
      <w:tr w14:paraId="42B6416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single" w:color="auto" w:sz="4" w:space="0"/>
              <w:left w:val="nil"/>
              <w:bottom w:val="nil"/>
              <w:right w:val="nil"/>
            </w:tcBorders>
          </w:tcPr>
          <w:p w14:paraId="7FAA23AA">
            <w:pPr>
              <w:pStyle w:val="11"/>
              <w:jc w:val="both"/>
              <w:outlineLvl w:val="1"/>
            </w:pPr>
          </w:p>
          <w:p w14:paraId="61F6D2CA">
            <w:pPr>
              <w:pStyle w:val="11"/>
              <w:jc w:val="both"/>
              <w:outlineLvl w:val="1"/>
            </w:pPr>
          </w:p>
          <w:p w14:paraId="3492C5D5">
            <w:pPr>
              <w:pStyle w:val="11"/>
              <w:jc w:val="both"/>
              <w:outlineLvl w:val="1"/>
            </w:pPr>
          </w:p>
          <w:p w14:paraId="3DE28CE7">
            <w:pPr>
              <w:pStyle w:val="11"/>
              <w:jc w:val="both"/>
              <w:outlineLvl w:val="1"/>
            </w:pPr>
          </w:p>
          <w:p w14:paraId="53C6C5B7">
            <w:pPr>
              <w:pStyle w:val="11"/>
              <w:jc w:val="both"/>
              <w:outlineLvl w:val="1"/>
            </w:pPr>
          </w:p>
          <w:p w14:paraId="40D4E732">
            <w:pPr>
              <w:pStyle w:val="11"/>
              <w:jc w:val="both"/>
              <w:outlineLvl w:val="1"/>
            </w:pPr>
            <w:r>
              <w:t>Раздел 5. Основные результаты инвестирования</w:t>
            </w:r>
          </w:p>
        </w:tc>
      </w:tr>
      <w:tr w14:paraId="08A5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78" w:type="dxa"/>
            <w:gridSpan w:val="3"/>
            <w:tcBorders>
              <w:top w:val="nil"/>
              <w:left w:val="nil"/>
              <w:bottom w:val="nil"/>
              <w:right w:val="nil"/>
            </w:tcBorders>
          </w:tcPr>
          <w:p w14:paraId="64F8F1C0">
            <w:pPr>
              <w:pStyle w:val="11"/>
              <w:ind w:left="283"/>
            </w:pPr>
            <w:r>
              <w:t>Доходность за календарный год, %</w:t>
            </w:r>
          </w:p>
        </w:tc>
        <w:tc>
          <w:tcPr>
            <w:tcW w:w="5665" w:type="dxa"/>
            <w:gridSpan w:val="6"/>
            <w:tcBorders>
              <w:top w:val="nil"/>
              <w:left w:val="nil"/>
              <w:bottom w:val="single" w:color="auto" w:sz="4" w:space="0"/>
              <w:right w:val="nil"/>
            </w:tcBorders>
          </w:tcPr>
          <w:p w14:paraId="3D5F35F5">
            <w:pPr>
              <w:pStyle w:val="11"/>
              <w:ind w:left="283"/>
              <w:jc w:val="both"/>
            </w:pPr>
            <w:r>
              <w:t>Доходность за период, %</w:t>
            </w:r>
          </w:p>
        </w:tc>
      </w:tr>
      <w:tr w14:paraId="62A8DE2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108" w:type="dxa"/>
            <w:bottom w:w="102" w:type="dxa"/>
            <w:right w:w="108" w:type="dxa"/>
          </w:tblCellMar>
        </w:tblPrEx>
        <w:tc>
          <w:tcPr>
            <w:tcW w:w="4678" w:type="dxa"/>
            <w:gridSpan w:val="3"/>
            <w:vMerge w:val="restart"/>
            <w:tcBorders>
              <w:top w:val="nil"/>
              <w:left w:val="nil"/>
              <w:bottom w:val="nil"/>
              <w:right w:val="single" w:color="auto" w:sz="4" w:space="0"/>
            </w:tcBorders>
            <w:vAlign w:val="center"/>
          </w:tcPr>
          <w:p w14:paraId="5984BEC4">
            <w:pPr>
              <w:pStyle w:val="11"/>
              <w:jc w:val="center"/>
            </w:pPr>
            <w:r>
              <w:drawing>
                <wp:inline distT="0" distB="0" distL="0" distR="0">
                  <wp:extent cx="1979930" cy="1619885"/>
                  <wp:effectExtent l="0" t="0" r="12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p>
        </w:tc>
        <w:tc>
          <w:tcPr>
            <w:tcW w:w="1537" w:type="dxa"/>
            <w:gridSpan w:val="2"/>
            <w:vMerge w:val="restart"/>
            <w:tcBorders>
              <w:top w:val="single" w:color="auto" w:sz="4" w:space="0"/>
              <w:left w:val="single" w:color="auto" w:sz="4" w:space="0"/>
              <w:bottom w:val="single" w:color="auto" w:sz="4" w:space="0"/>
              <w:right w:val="single" w:color="auto" w:sz="4" w:space="0"/>
            </w:tcBorders>
          </w:tcPr>
          <w:p w14:paraId="54973BE5">
            <w:pPr>
              <w:pStyle w:val="11"/>
              <w:jc w:val="center"/>
            </w:pPr>
            <w:r>
              <w:t>Период</w:t>
            </w:r>
          </w:p>
        </w:tc>
        <w:tc>
          <w:tcPr>
            <w:tcW w:w="1323" w:type="dxa"/>
            <w:vMerge w:val="restart"/>
            <w:tcBorders>
              <w:top w:val="single" w:color="auto" w:sz="4" w:space="0"/>
              <w:left w:val="single" w:color="auto" w:sz="4" w:space="0"/>
              <w:bottom w:val="single" w:color="auto" w:sz="4" w:space="0"/>
              <w:right w:val="single" w:color="auto" w:sz="4" w:space="0"/>
            </w:tcBorders>
          </w:tcPr>
          <w:p w14:paraId="48E1A019">
            <w:pPr>
              <w:pStyle w:val="11"/>
              <w:jc w:val="center"/>
            </w:pPr>
            <w:r>
              <w:t>Доходность инвестиций</w:t>
            </w:r>
          </w:p>
        </w:tc>
        <w:tc>
          <w:tcPr>
            <w:tcW w:w="2805" w:type="dxa"/>
            <w:gridSpan w:val="3"/>
            <w:tcBorders>
              <w:top w:val="single" w:color="auto" w:sz="4" w:space="0"/>
              <w:left w:val="single" w:color="auto" w:sz="4" w:space="0"/>
              <w:bottom w:val="single" w:color="auto" w:sz="4" w:space="0"/>
              <w:right w:val="single" w:color="auto" w:sz="4" w:space="0"/>
            </w:tcBorders>
          </w:tcPr>
          <w:p w14:paraId="15EDE64D">
            <w:pPr>
              <w:pStyle w:val="11"/>
            </w:pPr>
            <w:r>
              <w:t>Отклонение доходности от</w:t>
            </w:r>
          </w:p>
        </w:tc>
      </w:tr>
      <w:tr w14:paraId="68A98360">
        <w:tblPrEx>
          <w:tblBorders>
            <w:top w:val="none" w:color="auto" w:sz="0" w:space="0"/>
            <w:left w:val="single" w:color="auto" w:sz="4"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03606C1F"/>
        </w:tc>
        <w:tc>
          <w:tcPr>
            <w:tcW w:w="1537" w:type="dxa"/>
            <w:gridSpan w:val="2"/>
            <w:vMerge w:val="continue"/>
            <w:tcBorders>
              <w:top w:val="single" w:color="auto" w:sz="4" w:space="0"/>
              <w:left w:val="single" w:color="auto" w:sz="4" w:space="0"/>
              <w:bottom w:val="single" w:color="auto" w:sz="4" w:space="0"/>
              <w:right w:val="single" w:color="auto" w:sz="4" w:space="0"/>
            </w:tcBorders>
          </w:tcPr>
          <w:p w14:paraId="252099D6"/>
        </w:tc>
        <w:tc>
          <w:tcPr>
            <w:tcW w:w="1323" w:type="dxa"/>
            <w:vMerge w:val="continue"/>
            <w:tcBorders>
              <w:top w:val="single" w:color="auto" w:sz="4" w:space="0"/>
              <w:left w:val="single" w:color="auto" w:sz="4" w:space="0"/>
              <w:bottom w:val="single" w:color="auto" w:sz="4" w:space="0"/>
              <w:right w:val="single" w:color="auto" w:sz="4" w:space="0"/>
            </w:tcBorders>
          </w:tcPr>
          <w:p w14:paraId="6EBA5F89"/>
        </w:tc>
        <w:tc>
          <w:tcPr>
            <w:tcW w:w="1442" w:type="dxa"/>
            <w:gridSpan w:val="2"/>
            <w:tcBorders>
              <w:top w:val="single" w:color="auto" w:sz="4" w:space="0"/>
              <w:left w:val="single" w:color="auto" w:sz="4" w:space="0"/>
              <w:bottom w:val="single" w:color="auto" w:sz="4" w:space="0"/>
              <w:right w:val="single" w:color="auto" w:sz="4" w:space="0"/>
            </w:tcBorders>
          </w:tcPr>
          <w:p w14:paraId="7EEFFED4">
            <w:pPr>
              <w:pStyle w:val="11"/>
              <w:jc w:val="center"/>
            </w:pPr>
            <w:r>
              <w:t>инфляции</w:t>
            </w:r>
          </w:p>
        </w:tc>
        <w:tc>
          <w:tcPr>
            <w:tcW w:w="1363" w:type="dxa"/>
            <w:tcBorders>
              <w:top w:val="single" w:color="auto" w:sz="4" w:space="0"/>
              <w:left w:val="single" w:color="auto" w:sz="4" w:space="0"/>
              <w:bottom w:val="single" w:color="auto" w:sz="4" w:space="0"/>
              <w:right w:val="single" w:color="auto" w:sz="4" w:space="0"/>
            </w:tcBorders>
          </w:tcPr>
          <w:p w14:paraId="7CA1DD08">
            <w:pPr>
              <w:jc w:val="center"/>
            </w:pPr>
            <w:r>
              <w:t>индекса</w:t>
            </w:r>
          </w:p>
        </w:tc>
      </w:tr>
      <w:tr w14:paraId="3817651D">
        <w:tblPrEx>
          <w:tblBorders>
            <w:top w:val="none" w:color="auto" w:sz="0" w:space="0"/>
            <w:left w:val="single" w:color="auto" w:sz="4"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4A21E34C"/>
        </w:tc>
        <w:tc>
          <w:tcPr>
            <w:tcW w:w="1537" w:type="dxa"/>
            <w:gridSpan w:val="2"/>
            <w:tcBorders>
              <w:top w:val="single" w:color="auto" w:sz="4" w:space="0"/>
              <w:left w:val="single" w:color="auto" w:sz="4" w:space="0"/>
              <w:bottom w:val="single" w:color="auto" w:sz="4" w:space="0"/>
              <w:right w:val="single" w:color="auto" w:sz="4" w:space="0"/>
            </w:tcBorders>
          </w:tcPr>
          <w:p w14:paraId="1119CA41">
            <w:pPr>
              <w:pStyle w:val="11"/>
              <w:ind w:left="283"/>
            </w:pPr>
            <w:r>
              <w:t>1 месяц</w:t>
            </w:r>
          </w:p>
        </w:tc>
        <w:tc>
          <w:tcPr>
            <w:tcW w:w="1323" w:type="dxa"/>
            <w:tcBorders>
              <w:top w:val="single" w:color="auto" w:sz="4" w:space="0"/>
              <w:left w:val="single" w:color="auto" w:sz="4" w:space="0"/>
              <w:bottom w:val="single" w:color="auto" w:sz="4" w:space="0"/>
              <w:right w:val="single" w:color="auto" w:sz="4" w:space="0"/>
            </w:tcBorders>
            <w:vAlign w:val="center"/>
          </w:tcPr>
          <w:p w14:paraId="2570EBD1">
            <w:pPr>
              <w:jc w:val="center"/>
            </w:pPr>
            <w:r>
              <w:rPr>
                <w:rFonts w:ascii="Calibri" w:hAnsi="Calibri" w:cs="Calibri"/>
                <w:color w:val="000000"/>
              </w:rPr>
              <w:t>1,1%</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78138059">
            <w:pPr>
              <w:jc w:val="center"/>
            </w:pPr>
            <w:r>
              <w:rPr>
                <w:rFonts w:ascii="Calibri" w:hAnsi="Calibri" w:cs="Calibri"/>
                <w:color w:val="000000"/>
              </w:rPr>
              <w:t>0,7%</w:t>
            </w:r>
          </w:p>
        </w:tc>
        <w:tc>
          <w:tcPr>
            <w:tcW w:w="1363" w:type="dxa"/>
            <w:tcBorders>
              <w:top w:val="single" w:color="auto" w:sz="4" w:space="0"/>
              <w:left w:val="single" w:color="auto" w:sz="4" w:space="0"/>
              <w:bottom w:val="single" w:color="auto" w:sz="4" w:space="0"/>
              <w:right w:val="single" w:color="auto" w:sz="4" w:space="0"/>
            </w:tcBorders>
          </w:tcPr>
          <w:p w14:paraId="069FB60B">
            <w:pPr>
              <w:jc w:val="center"/>
            </w:pPr>
          </w:p>
        </w:tc>
      </w:tr>
      <w:tr w14:paraId="793AD32B">
        <w:tblPrEx>
          <w:tblBorders>
            <w:top w:val="none" w:color="auto" w:sz="0" w:space="0"/>
            <w:left w:val="single" w:color="auto" w:sz="4"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748EEE50"/>
        </w:tc>
        <w:tc>
          <w:tcPr>
            <w:tcW w:w="1537" w:type="dxa"/>
            <w:gridSpan w:val="2"/>
            <w:tcBorders>
              <w:top w:val="single" w:color="auto" w:sz="4" w:space="0"/>
              <w:left w:val="single" w:color="auto" w:sz="4" w:space="0"/>
              <w:bottom w:val="single" w:color="auto" w:sz="4" w:space="0"/>
              <w:right w:val="single" w:color="auto" w:sz="4" w:space="0"/>
            </w:tcBorders>
          </w:tcPr>
          <w:p w14:paraId="2A5958AB">
            <w:pPr>
              <w:pStyle w:val="11"/>
              <w:ind w:left="283"/>
            </w:pPr>
            <w:r>
              <w:t>3 месяца</w:t>
            </w:r>
          </w:p>
        </w:tc>
        <w:tc>
          <w:tcPr>
            <w:tcW w:w="1323" w:type="dxa"/>
            <w:tcBorders>
              <w:top w:val="single" w:color="auto" w:sz="4" w:space="0"/>
              <w:left w:val="single" w:color="auto" w:sz="4" w:space="0"/>
              <w:bottom w:val="single" w:color="auto" w:sz="4" w:space="0"/>
              <w:right w:val="single" w:color="auto" w:sz="4" w:space="0"/>
            </w:tcBorders>
            <w:vAlign w:val="center"/>
          </w:tcPr>
          <w:p w14:paraId="40AB5749">
            <w:pPr>
              <w:jc w:val="center"/>
            </w:pPr>
            <w:r>
              <w:rPr>
                <w:rFonts w:ascii="Calibri" w:hAnsi="Calibri" w:cs="Calibri"/>
                <w:color w:val="000000"/>
              </w:rPr>
              <w:t>1,0%</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8406A15">
            <w:pPr>
              <w:jc w:val="center"/>
            </w:pPr>
            <w:r>
              <w:rPr>
                <w:rFonts w:ascii="Calibri" w:hAnsi="Calibri" w:cs="Calibri"/>
                <w:color w:val="000000"/>
              </w:rPr>
              <w:t>0,4%</w:t>
            </w:r>
          </w:p>
        </w:tc>
        <w:tc>
          <w:tcPr>
            <w:tcW w:w="1363" w:type="dxa"/>
            <w:tcBorders>
              <w:top w:val="single" w:color="auto" w:sz="4" w:space="0"/>
              <w:left w:val="single" w:color="auto" w:sz="4" w:space="0"/>
              <w:bottom w:val="single" w:color="auto" w:sz="4" w:space="0"/>
              <w:right w:val="single" w:color="auto" w:sz="4" w:space="0"/>
            </w:tcBorders>
          </w:tcPr>
          <w:p w14:paraId="6A311D38">
            <w:pPr>
              <w:jc w:val="center"/>
            </w:pPr>
          </w:p>
        </w:tc>
      </w:tr>
      <w:tr w14:paraId="08529EC6">
        <w:tblPrEx>
          <w:tblBorders>
            <w:top w:val="none" w:color="auto" w:sz="0" w:space="0"/>
            <w:left w:val="single" w:color="auto" w:sz="4"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60C4130D"/>
        </w:tc>
        <w:tc>
          <w:tcPr>
            <w:tcW w:w="1537" w:type="dxa"/>
            <w:gridSpan w:val="2"/>
            <w:tcBorders>
              <w:top w:val="single" w:color="auto" w:sz="4" w:space="0"/>
              <w:left w:val="single" w:color="auto" w:sz="4" w:space="0"/>
              <w:bottom w:val="single" w:color="auto" w:sz="4" w:space="0"/>
              <w:right w:val="single" w:color="auto" w:sz="4" w:space="0"/>
            </w:tcBorders>
          </w:tcPr>
          <w:p w14:paraId="5D1BD26E">
            <w:pPr>
              <w:pStyle w:val="11"/>
              <w:ind w:left="283"/>
            </w:pPr>
            <w:r>
              <w:t>6 месяцев</w:t>
            </w:r>
          </w:p>
        </w:tc>
        <w:tc>
          <w:tcPr>
            <w:tcW w:w="1323" w:type="dxa"/>
            <w:tcBorders>
              <w:top w:val="single" w:color="auto" w:sz="4" w:space="0"/>
              <w:left w:val="single" w:color="auto" w:sz="4" w:space="0"/>
              <w:bottom w:val="single" w:color="auto" w:sz="4" w:space="0"/>
              <w:right w:val="single" w:color="auto" w:sz="4" w:space="0"/>
            </w:tcBorders>
            <w:vAlign w:val="center"/>
          </w:tcPr>
          <w:p w14:paraId="0F64B7B5">
            <w:pPr>
              <w:jc w:val="center"/>
            </w:pPr>
            <w:r>
              <w:rPr>
                <w:rFonts w:ascii="Calibri" w:hAnsi="Calibri" w:cs="Calibri"/>
                <w:color w:val="000000"/>
              </w:rPr>
              <w:t>3,5%</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25E843E4">
            <w:pPr>
              <w:jc w:val="center"/>
            </w:pPr>
            <w:r>
              <w:rPr>
                <w:rFonts w:ascii="Calibri" w:hAnsi="Calibri" w:cs="Calibri"/>
                <w:color w:val="000000"/>
              </w:rPr>
              <w:t>4,2%</w:t>
            </w:r>
          </w:p>
        </w:tc>
        <w:tc>
          <w:tcPr>
            <w:tcW w:w="1363" w:type="dxa"/>
            <w:tcBorders>
              <w:top w:val="single" w:color="auto" w:sz="4" w:space="0"/>
              <w:left w:val="single" w:color="auto" w:sz="4" w:space="0"/>
              <w:bottom w:val="single" w:color="auto" w:sz="4" w:space="0"/>
              <w:right w:val="single" w:color="auto" w:sz="4" w:space="0"/>
            </w:tcBorders>
          </w:tcPr>
          <w:p w14:paraId="2E0B734A">
            <w:pPr>
              <w:jc w:val="center"/>
            </w:pPr>
          </w:p>
        </w:tc>
      </w:tr>
      <w:tr w14:paraId="46143B1F">
        <w:tblPrEx>
          <w:tblBorders>
            <w:top w:val="none" w:color="auto" w:sz="0" w:space="0"/>
            <w:left w:val="single" w:color="auto" w:sz="4"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64A1D0F1"/>
        </w:tc>
        <w:tc>
          <w:tcPr>
            <w:tcW w:w="1537" w:type="dxa"/>
            <w:gridSpan w:val="2"/>
            <w:tcBorders>
              <w:top w:val="single" w:color="auto" w:sz="4" w:space="0"/>
              <w:left w:val="single" w:color="auto" w:sz="4" w:space="0"/>
              <w:bottom w:val="single" w:color="auto" w:sz="4" w:space="0"/>
              <w:right w:val="single" w:color="auto" w:sz="4" w:space="0"/>
            </w:tcBorders>
          </w:tcPr>
          <w:p w14:paraId="2ED9A48A">
            <w:pPr>
              <w:pStyle w:val="11"/>
              <w:ind w:left="283"/>
            </w:pPr>
            <w:r>
              <w:t>1 год</w:t>
            </w:r>
          </w:p>
        </w:tc>
        <w:tc>
          <w:tcPr>
            <w:tcW w:w="1323" w:type="dxa"/>
            <w:tcBorders>
              <w:top w:val="single" w:color="auto" w:sz="4" w:space="0"/>
              <w:left w:val="single" w:color="auto" w:sz="4" w:space="0"/>
              <w:bottom w:val="single" w:color="auto" w:sz="4" w:space="0"/>
              <w:right w:val="single" w:color="auto" w:sz="4" w:space="0"/>
            </w:tcBorders>
            <w:vAlign w:val="center"/>
          </w:tcPr>
          <w:p w14:paraId="6E8A06B1">
            <w:pPr>
              <w:jc w:val="center"/>
            </w:pPr>
            <w:r>
              <w:rPr>
                <w:rFonts w:ascii="Calibri" w:hAnsi="Calibri" w:cs="Calibri"/>
                <w:color w:val="000000"/>
              </w:rPr>
              <w:t>-20,3%</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402F95DC">
            <w:pPr>
              <w:jc w:val="center"/>
            </w:pPr>
            <w:r>
              <w:rPr>
                <w:rFonts w:ascii="Calibri" w:hAnsi="Calibri" w:cs="Calibri"/>
                <w:color w:val="000000"/>
              </w:rPr>
              <w:t>-32,2%</w:t>
            </w:r>
          </w:p>
        </w:tc>
        <w:tc>
          <w:tcPr>
            <w:tcW w:w="1363" w:type="dxa"/>
            <w:tcBorders>
              <w:top w:val="single" w:color="auto" w:sz="4" w:space="0"/>
              <w:left w:val="single" w:color="auto" w:sz="4" w:space="0"/>
              <w:bottom w:val="single" w:color="auto" w:sz="4" w:space="0"/>
              <w:right w:val="single" w:color="auto" w:sz="4" w:space="0"/>
            </w:tcBorders>
          </w:tcPr>
          <w:p w14:paraId="7652159E">
            <w:pPr>
              <w:jc w:val="center"/>
            </w:pPr>
          </w:p>
        </w:tc>
      </w:tr>
      <w:tr w14:paraId="333F3457">
        <w:tblPrEx>
          <w:tblBorders>
            <w:top w:val="none" w:color="auto" w:sz="0" w:space="0"/>
            <w:left w:val="single" w:color="auto" w:sz="4"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112CDD52"/>
        </w:tc>
        <w:tc>
          <w:tcPr>
            <w:tcW w:w="1537" w:type="dxa"/>
            <w:gridSpan w:val="2"/>
            <w:tcBorders>
              <w:top w:val="single" w:color="auto" w:sz="4" w:space="0"/>
              <w:left w:val="single" w:color="auto" w:sz="4" w:space="0"/>
              <w:bottom w:val="single" w:color="auto" w:sz="4" w:space="0"/>
              <w:right w:val="single" w:color="auto" w:sz="4" w:space="0"/>
            </w:tcBorders>
          </w:tcPr>
          <w:p w14:paraId="01334A17">
            <w:pPr>
              <w:pStyle w:val="11"/>
              <w:ind w:left="283"/>
            </w:pPr>
            <w:r>
              <w:t>3 года</w:t>
            </w:r>
          </w:p>
        </w:tc>
        <w:tc>
          <w:tcPr>
            <w:tcW w:w="1323" w:type="dxa"/>
            <w:tcBorders>
              <w:top w:val="single" w:color="auto" w:sz="4" w:space="0"/>
              <w:left w:val="single" w:color="auto" w:sz="4" w:space="0"/>
              <w:bottom w:val="single" w:color="auto" w:sz="4" w:space="0"/>
              <w:right w:val="single" w:color="auto" w:sz="4" w:space="0"/>
            </w:tcBorders>
            <w:vAlign w:val="center"/>
          </w:tcPr>
          <w:p w14:paraId="27AE09C8">
            <w:pPr>
              <w:jc w:val="center"/>
            </w:pPr>
            <w:r>
              <w:rPr>
                <w:rFonts w:ascii="Calibri" w:hAnsi="Calibri" w:cs="Calibri"/>
                <w:color w:val="000000"/>
              </w:rPr>
              <w:t>-0,2%</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5ABA04B0">
            <w:pPr>
              <w:jc w:val="center"/>
            </w:pPr>
            <w:r>
              <w:rPr>
                <w:rFonts w:ascii="Calibri" w:hAnsi="Calibri" w:cs="Calibri"/>
                <w:color w:val="000000"/>
              </w:rPr>
              <w:t>-25,0%</w:t>
            </w:r>
          </w:p>
        </w:tc>
        <w:tc>
          <w:tcPr>
            <w:tcW w:w="1363" w:type="dxa"/>
            <w:tcBorders>
              <w:top w:val="single" w:color="auto" w:sz="4" w:space="0"/>
              <w:left w:val="single" w:color="auto" w:sz="4" w:space="0"/>
              <w:bottom w:val="single" w:color="auto" w:sz="4" w:space="0"/>
              <w:right w:val="single" w:color="auto" w:sz="4" w:space="0"/>
            </w:tcBorders>
          </w:tcPr>
          <w:p w14:paraId="5ABA2C38">
            <w:pPr>
              <w:jc w:val="center"/>
            </w:pPr>
          </w:p>
        </w:tc>
      </w:tr>
      <w:tr w14:paraId="576664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78" w:type="dxa"/>
            <w:gridSpan w:val="3"/>
            <w:vMerge w:val="continue"/>
            <w:tcBorders>
              <w:top w:val="nil"/>
              <w:left w:val="nil"/>
              <w:bottom w:val="nil"/>
              <w:right w:val="single" w:color="auto" w:sz="4" w:space="0"/>
            </w:tcBorders>
          </w:tcPr>
          <w:p w14:paraId="1AC7B8D6"/>
        </w:tc>
        <w:tc>
          <w:tcPr>
            <w:tcW w:w="1537" w:type="dxa"/>
            <w:gridSpan w:val="2"/>
            <w:tcBorders>
              <w:top w:val="single" w:color="auto" w:sz="4" w:space="0"/>
              <w:left w:val="single" w:color="auto" w:sz="4" w:space="0"/>
              <w:bottom w:val="single" w:color="auto" w:sz="4" w:space="0"/>
              <w:right w:val="single" w:color="auto" w:sz="4" w:space="0"/>
            </w:tcBorders>
          </w:tcPr>
          <w:p w14:paraId="7B0AAB4D">
            <w:pPr>
              <w:pStyle w:val="11"/>
              <w:ind w:left="283"/>
            </w:pPr>
            <w:r>
              <w:t>5 лет</w:t>
            </w:r>
          </w:p>
        </w:tc>
        <w:tc>
          <w:tcPr>
            <w:tcW w:w="1323" w:type="dxa"/>
            <w:tcBorders>
              <w:top w:val="single" w:color="auto" w:sz="4" w:space="0"/>
              <w:left w:val="single" w:color="auto" w:sz="4" w:space="0"/>
              <w:bottom w:val="single" w:color="auto" w:sz="4" w:space="0"/>
              <w:right w:val="single" w:color="auto" w:sz="4" w:space="0"/>
            </w:tcBorders>
            <w:vAlign w:val="center"/>
          </w:tcPr>
          <w:p w14:paraId="635AA6B3">
            <w:pPr>
              <w:jc w:val="center"/>
            </w:pPr>
            <w:r>
              <w:rPr>
                <w:rFonts w:ascii="Calibri" w:hAnsi="Calibri" w:cs="Calibri"/>
                <w:color w:val="000000"/>
              </w:rPr>
              <w:t>27,4%</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27BA1970">
            <w:pPr>
              <w:jc w:val="center"/>
            </w:pPr>
            <w:r>
              <w:rPr>
                <w:rFonts w:ascii="Calibri" w:hAnsi="Calibri" w:cs="Calibri"/>
                <w:color w:val="000000"/>
              </w:rPr>
              <w:t>-4,7%</w:t>
            </w:r>
          </w:p>
        </w:tc>
        <w:tc>
          <w:tcPr>
            <w:tcW w:w="1363" w:type="dxa"/>
            <w:tcBorders>
              <w:top w:val="single" w:color="auto" w:sz="4" w:space="0"/>
              <w:left w:val="single" w:color="auto" w:sz="4" w:space="0"/>
              <w:bottom w:val="single" w:color="auto" w:sz="4" w:space="0"/>
              <w:right w:val="single" w:color="auto" w:sz="4" w:space="0"/>
            </w:tcBorders>
          </w:tcPr>
          <w:p w14:paraId="16EB2E92">
            <w:pPr>
              <w:jc w:val="center"/>
            </w:pPr>
          </w:p>
        </w:tc>
      </w:tr>
      <w:tr w14:paraId="1E97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78" w:type="dxa"/>
            <w:gridSpan w:val="3"/>
            <w:tcBorders>
              <w:top w:val="nil"/>
              <w:left w:val="nil"/>
              <w:bottom w:val="nil"/>
              <w:right w:val="nil"/>
            </w:tcBorders>
          </w:tcPr>
          <w:p w14:paraId="0E30AE7E">
            <w:pPr>
              <w:pStyle w:val="11"/>
              <w:rPr>
                <w:color w:val="000000"/>
              </w:rPr>
            </w:pPr>
            <w:r>
              <w:t xml:space="preserve">1. Расчетная стоимость инвестиционного пая     </w:t>
            </w:r>
            <w:r>
              <w:rPr>
                <w:color w:val="000000"/>
              </w:rPr>
              <w:t xml:space="preserve"> 1 498 128,02 </w:t>
            </w:r>
            <w:r>
              <w:t>руб.</w:t>
            </w:r>
          </w:p>
        </w:tc>
        <w:tc>
          <w:tcPr>
            <w:tcW w:w="146" w:type="dxa"/>
            <w:vMerge w:val="restart"/>
            <w:tcBorders>
              <w:top w:val="single" w:color="auto" w:sz="4" w:space="0"/>
              <w:left w:val="nil"/>
              <w:bottom w:val="nil"/>
              <w:right w:val="nil"/>
            </w:tcBorders>
          </w:tcPr>
          <w:p w14:paraId="7CA2DE5A">
            <w:pPr>
              <w:pStyle w:val="11"/>
            </w:pPr>
          </w:p>
        </w:tc>
        <w:tc>
          <w:tcPr>
            <w:tcW w:w="5519" w:type="dxa"/>
            <w:gridSpan w:val="5"/>
            <w:vMerge w:val="restart"/>
            <w:tcBorders>
              <w:top w:val="single" w:color="auto" w:sz="4" w:space="0"/>
              <w:left w:val="nil"/>
              <w:bottom w:val="nil"/>
              <w:right w:val="nil"/>
            </w:tcBorders>
          </w:tcPr>
          <w:p w14:paraId="5EB0B0AE">
            <w:pPr>
              <w:pStyle w:val="11"/>
              <w:spacing w:after="120"/>
            </w:pPr>
            <w:r>
              <w:t>3. Стоимость чистых активов паевого инвестиционного фонда 599 822 878,79 руб.</w:t>
            </w:r>
          </w:p>
          <w:p w14:paraId="3B76DE19">
            <w:pPr>
              <w:pStyle w:val="11"/>
              <w:numPr>
                <w:ilvl w:val="0"/>
                <w:numId w:val="1"/>
              </w:numPr>
              <w:spacing w:after="120"/>
              <w:ind w:left="0" w:firstLine="28"/>
              <w:jc w:val="both"/>
            </w:pPr>
            <w:r>
              <w:rPr>
                <w:spacing w:val="-8"/>
              </w:rPr>
              <w:t>Доход от управления фондом не выплачивается, но капитализируется, увеличивая стоимость инвестиционного пая и доходность инвестиций</w:t>
            </w:r>
            <w:r>
              <w:t xml:space="preserve">. </w:t>
            </w:r>
          </w:p>
          <w:p w14:paraId="0F3926F2">
            <w:pPr>
              <w:autoSpaceDE w:val="0"/>
              <w:autoSpaceDN w:val="0"/>
              <w:adjustRightInd w:val="0"/>
              <w:spacing w:after="0" w:line="240" w:lineRule="auto"/>
              <w:jc w:val="both"/>
            </w:pPr>
            <w:r>
              <w:t xml:space="preserve">5. </w:t>
            </w:r>
            <w:r>
              <w:rPr>
                <w:spacing w:val="-8"/>
              </w:rPr>
              <w:t>Правилами доверительного управления паевым</w:t>
            </w:r>
            <w:r>
              <w:t xml:space="preserve">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w:t>
            </w:r>
            <w:r>
              <w:rPr>
                <w:rFonts w:ascii="Calibri" w:hAnsi="Calibri" w:cs="Calibri"/>
              </w:rPr>
              <w:t>надбавок и скидок уменьшит доходность инвестиций в инвестиционные паи паевого инвестиционного фонда.</w:t>
            </w:r>
          </w:p>
        </w:tc>
      </w:tr>
      <w:tr w14:paraId="5569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trHeight w:val="1880" w:hRule="atLeast"/>
        </w:trPr>
        <w:tc>
          <w:tcPr>
            <w:tcW w:w="4678" w:type="dxa"/>
            <w:gridSpan w:val="3"/>
            <w:tcBorders>
              <w:top w:val="nil"/>
              <w:left w:val="nil"/>
              <w:bottom w:val="nil"/>
              <w:right w:val="nil"/>
            </w:tcBorders>
          </w:tcPr>
          <w:p w14:paraId="42EBF76D">
            <w:pPr>
              <w:pStyle w:val="11"/>
              <w:jc w:val="both"/>
            </w:pPr>
            <w:r>
              <w:t xml:space="preserve">2. Результаты инвестирования не учитывают комиссии, удерживаемые </w:t>
            </w:r>
            <w:r>
              <w:rPr>
                <w:spacing w:val="-12"/>
              </w:rPr>
              <w:t>при выдаче и погашении</w:t>
            </w:r>
            <w:r>
              <w:t xml:space="preserve"> инвестиционных паев паевого инвестиционного фонда (скидки и надбавки). Указанные комиссии могут уменьшать доход от инвестиций.</w:t>
            </w:r>
          </w:p>
        </w:tc>
        <w:tc>
          <w:tcPr>
            <w:tcW w:w="146" w:type="dxa"/>
            <w:vMerge w:val="continue"/>
            <w:tcBorders>
              <w:top w:val="nil"/>
              <w:left w:val="nil"/>
              <w:bottom w:val="nil"/>
              <w:right w:val="nil"/>
            </w:tcBorders>
          </w:tcPr>
          <w:p w14:paraId="717FEEEE"/>
        </w:tc>
        <w:tc>
          <w:tcPr>
            <w:tcW w:w="5519" w:type="dxa"/>
            <w:gridSpan w:val="5"/>
            <w:vMerge w:val="continue"/>
            <w:tcBorders>
              <w:top w:val="nil"/>
              <w:left w:val="nil"/>
              <w:bottom w:val="nil"/>
              <w:right w:val="nil"/>
            </w:tcBorders>
          </w:tcPr>
          <w:p w14:paraId="53FE1499">
            <w:pPr>
              <w:autoSpaceDE w:val="0"/>
              <w:autoSpaceDN w:val="0"/>
              <w:adjustRightInd w:val="0"/>
              <w:spacing w:after="0" w:line="240" w:lineRule="auto"/>
              <w:jc w:val="both"/>
            </w:pPr>
          </w:p>
        </w:tc>
      </w:tr>
      <w:tr w14:paraId="7A2B110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0B217B24">
            <w:pPr>
              <w:pStyle w:val="11"/>
              <w:jc w:val="both"/>
              <w:outlineLvl w:val="1"/>
            </w:pPr>
          </w:p>
          <w:p w14:paraId="734005CA">
            <w:pPr>
              <w:pStyle w:val="11"/>
              <w:jc w:val="both"/>
              <w:outlineLvl w:val="1"/>
            </w:pPr>
            <w:r>
              <w:t>Раздел 6. Комиссии</w:t>
            </w:r>
          </w:p>
        </w:tc>
      </w:tr>
      <w:tr w14:paraId="686C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78" w:type="dxa"/>
            <w:gridSpan w:val="3"/>
            <w:tcBorders>
              <w:top w:val="nil"/>
              <w:left w:val="nil"/>
              <w:bottom w:val="single" w:color="auto" w:sz="4" w:space="0"/>
              <w:right w:val="nil"/>
            </w:tcBorders>
          </w:tcPr>
          <w:p w14:paraId="613993CF">
            <w:pPr>
              <w:pStyle w:val="11"/>
              <w:jc w:val="both"/>
            </w:pPr>
            <w:r>
              <w:t>Комиссии, оплачиваемые один раз</w:t>
            </w:r>
          </w:p>
        </w:tc>
        <w:tc>
          <w:tcPr>
            <w:tcW w:w="146" w:type="dxa"/>
            <w:vMerge w:val="restart"/>
            <w:tcBorders>
              <w:top w:val="nil"/>
              <w:left w:val="nil"/>
              <w:bottom w:val="nil"/>
              <w:right w:val="nil"/>
            </w:tcBorders>
          </w:tcPr>
          <w:p w14:paraId="78E84AAE">
            <w:pPr>
              <w:pStyle w:val="11"/>
            </w:pPr>
          </w:p>
        </w:tc>
        <w:tc>
          <w:tcPr>
            <w:tcW w:w="5519" w:type="dxa"/>
            <w:gridSpan w:val="5"/>
            <w:tcBorders>
              <w:top w:val="nil"/>
              <w:left w:val="nil"/>
              <w:bottom w:val="single" w:color="auto" w:sz="4" w:space="0"/>
              <w:right w:val="nil"/>
            </w:tcBorders>
          </w:tcPr>
          <w:p w14:paraId="0285F74A">
            <w:pPr>
              <w:pStyle w:val="11"/>
              <w:jc w:val="both"/>
            </w:pPr>
            <w:r>
              <w:t>Комиссии, оплачиваемые каждый год</w:t>
            </w:r>
          </w:p>
        </w:tc>
      </w:tr>
      <w:tr w14:paraId="17764E8A">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31" w:type="dxa"/>
            <w:gridSpan w:val="2"/>
            <w:tcBorders>
              <w:top w:val="single" w:color="auto" w:sz="4" w:space="0"/>
              <w:left w:val="single" w:color="auto" w:sz="4" w:space="0"/>
              <w:bottom w:val="single" w:color="auto" w:sz="4" w:space="0"/>
              <w:right w:val="single" w:color="auto" w:sz="4" w:space="0"/>
            </w:tcBorders>
          </w:tcPr>
          <w:p w14:paraId="2827D65F">
            <w:pPr>
              <w:pStyle w:val="11"/>
            </w:pPr>
            <w:r>
              <w:t>при приобретении инвестиционного пая (надбавка)</w:t>
            </w:r>
          </w:p>
        </w:tc>
        <w:tc>
          <w:tcPr>
            <w:tcW w:w="747" w:type="dxa"/>
            <w:tcBorders>
              <w:top w:val="single" w:color="auto" w:sz="4" w:space="0"/>
              <w:left w:val="single" w:color="auto" w:sz="4" w:space="0"/>
              <w:bottom w:val="single" w:color="auto" w:sz="4" w:space="0"/>
              <w:right w:val="single" w:color="auto" w:sz="4" w:space="0"/>
            </w:tcBorders>
          </w:tcPr>
          <w:p w14:paraId="1B57C2BF">
            <w:pPr>
              <w:pStyle w:val="11"/>
              <w:jc w:val="center"/>
            </w:pPr>
            <w:r>
              <w:t>нет</w:t>
            </w:r>
          </w:p>
        </w:tc>
        <w:tc>
          <w:tcPr>
            <w:tcW w:w="146" w:type="dxa"/>
            <w:vMerge w:val="continue"/>
            <w:tcBorders>
              <w:top w:val="nil"/>
              <w:left w:val="single" w:color="auto" w:sz="4" w:space="0"/>
              <w:bottom w:val="nil"/>
              <w:right w:val="single" w:color="auto" w:sz="4" w:space="0"/>
            </w:tcBorders>
          </w:tcPr>
          <w:p w14:paraId="10D6D0C3"/>
        </w:tc>
        <w:tc>
          <w:tcPr>
            <w:tcW w:w="3838" w:type="dxa"/>
            <w:gridSpan w:val="3"/>
            <w:vMerge w:val="restart"/>
            <w:tcBorders>
              <w:top w:val="single" w:color="auto" w:sz="4" w:space="0"/>
              <w:left w:val="single" w:color="auto" w:sz="4" w:space="0"/>
              <w:bottom w:val="single" w:color="auto" w:sz="4" w:space="0"/>
              <w:right w:val="single" w:color="auto" w:sz="4" w:space="0"/>
            </w:tcBorders>
            <w:vAlign w:val="center"/>
          </w:tcPr>
          <w:p w14:paraId="1C13853C">
            <w:pPr>
              <w:pStyle w:val="11"/>
              <w:jc w:val="center"/>
              <w:rPr>
                <w:sz w:val="16"/>
                <w:szCs w:val="16"/>
              </w:rPr>
            </w:pPr>
            <w:r>
              <w:rPr>
                <w:sz w:val="16"/>
                <w:szCs w:val="16"/>
              </w:rPr>
              <w:t>Вознаграждение Управляющей компании</w:t>
            </w:r>
          </w:p>
          <w:p w14:paraId="2AB195F3">
            <w:pPr>
              <w:pStyle w:val="11"/>
              <w:jc w:val="center"/>
              <w:rPr>
                <w:sz w:val="16"/>
                <w:szCs w:val="16"/>
              </w:rPr>
            </w:pPr>
          </w:p>
          <w:p w14:paraId="33EB11B5">
            <w:pPr>
              <w:pStyle w:val="11"/>
              <w:jc w:val="center"/>
              <w:rPr>
                <w:sz w:val="16"/>
                <w:szCs w:val="16"/>
              </w:rPr>
            </w:pPr>
            <w:r>
              <w:rPr>
                <w:sz w:val="16"/>
                <w:szCs w:val="16"/>
              </w:rPr>
              <w:t xml:space="preserve">Вознаграждение специализированного депозитария, регистратора </w:t>
            </w:r>
          </w:p>
          <w:p w14:paraId="2E8BD254">
            <w:pPr>
              <w:pStyle w:val="11"/>
              <w:jc w:val="center"/>
              <w:rPr>
                <w:sz w:val="16"/>
                <w:szCs w:val="16"/>
              </w:rPr>
            </w:pPr>
          </w:p>
          <w:p w14:paraId="5C132E76">
            <w:pPr>
              <w:pStyle w:val="11"/>
              <w:jc w:val="center"/>
              <w:rPr>
                <w:sz w:val="16"/>
                <w:szCs w:val="16"/>
              </w:rPr>
            </w:pPr>
            <w:r>
              <w:rPr>
                <w:sz w:val="16"/>
                <w:szCs w:val="16"/>
              </w:rPr>
              <w:t>Прочие расходы</w:t>
            </w:r>
          </w:p>
        </w:tc>
        <w:tc>
          <w:tcPr>
            <w:tcW w:w="1681" w:type="dxa"/>
            <w:gridSpan w:val="2"/>
            <w:vMerge w:val="restart"/>
            <w:tcBorders>
              <w:top w:val="single" w:color="auto" w:sz="4" w:space="0"/>
              <w:left w:val="single" w:color="auto" w:sz="4" w:space="0"/>
              <w:bottom w:val="single" w:color="auto" w:sz="4" w:space="0"/>
              <w:right w:val="single" w:color="auto" w:sz="4" w:space="0"/>
            </w:tcBorders>
            <w:vAlign w:val="center"/>
          </w:tcPr>
          <w:p w14:paraId="6185115F">
            <w:pPr>
              <w:pStyle w:val="11"/>
              <w:jc w:val="center"/>
              <w:rPr>
                <w:sz w:val="16"/>
                <w:szCs w:val="16"/>
              </w:rPr>
            </w:pPr>
            <w:r>
              <w:rPr>
                <w:sz w:val="16"/>
                <w:szCs w:val="16"/>
              </w:rPr>
              <w:t>1,5%</w:t>
            </w:r>
          </w:p>
          <w:p w14:paraId="01EAEA00">
            <w:pPr>
              <w:pStyle w:val="11"/>
              <w:jc w:val="center"/>
              <w:rPr>
                <w:sz w:val="16"/>
                <w:szCs w:val="16"/>
              </w:rPr>
            </w:pPr>
          </w:p>
          <w:p w14:paraId="4161AE03">
            <w:pPr>
              <w:pStyle w:val="11"/>
              <w:jc w:val="center"/>
              <w:rPr>
                <w:sz w:val="16"/>
                <w:szCs w:val="16"/>
              </w:rPr>
            </w:pPr>
          </w:p>
          <w:p w14:paraId="42A580BD">
            <w:pPr>
              <w:pStyle w:val="11"/>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 без учета НДС</w:t>
            </w:r>
          </w:p>
          <w:p w14:paraId="141FA85F">
            <w:pPr>
              <w:pStyle w:val="11"/>
              <w:jc w:val="center"/>
              <w:rPr>
                <w:rFonts w:ascii="Arial" w:hAnsi="Arial" w:cs="Arial"/>
                <w:color w:val="000000"/>
                <w:sz w:val="16"/>
                <w:szCs w:val="16"/>
                <w:shd w:val="clear" w:color="auto" w:fill="FFFFFF"/>
              </w:rPr>
            </w:pPr>
          </w:p>
          <w:p w14:paraId="789A6818">
            <w:pPr>
              <w:pStyle w:val="11"/>
              <w:jc w:val="center"/>
              <w:rPr>
                <w:rFonts w:ascii="Arial" w:hAnsi="Arial" w:cs="Arial"/>
                <w:color w:val="000000"/>
                <w:sz w:val="16"/>
                <w:szCs w:val="16"/>
                <w:shd w:val="clear" w:color="auto" w:fill="FFFFFF"/>
              </w:rPr>
            </w:pPr>
          </w:p>
          <w:p w14:paraId="6248A1DC">
            <w:pPr>
              <w:pStyle w:val="11"/>
              <w:jc w:val="center"/>
              <w:rPr>
                <w:sz w:val="16"/>
                <w:szCs w:val="16"/>
              </w:rPr>
            </w:pPr>
            <w:r>
              <w:rPr>
                <w:rFonts w:ascii="Arial" w:hAnsi="Arial" w:cs="Arial"/>
                <w:color w:val="000000"/>
                <w:sz w:val="16"/>
                <w:szCs w:val="16"/>
                <w:shd w:val="clear" w:color="auto" w:fill="FFFFFF"/>
              </w:rPr>
              <w:t>1.6% без учета НДС</w:t>
            </w:r>
          </w:p>
        </w:tc>
      </w:tr>
      <w:tr w14:paraId="746FE8D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9" w:hRule="atLeast"/>
        </w:trPr>
        <w:tc>
          <w:tcPr>
            <w:tcW w:w="3931" w:type="dxa"/>
            <w:gridSpan w:val="2"/>
            <w:vMerge w:val="restart"/>
            <w:tcBorders>
              <w:top w:val="single" w:color="auto" w:sz="4" w:space="0"/>
              <w:left w:val="single" w:color="auto" w:sz="4" w:space="0"/>
              <w:bottom w:val="single" w:color="auto" w:sz="4" w:space="0"/>
              <w:right w:val="single" w:color="auto" w:sz="4" w:space="0"/>
            </w:tcBorders>
          </w:tcPr>
          <w:p w14:paraId="30AFC0E7">
            <w:pPr>
              <w:pStyle w:val="11"/>
            </w:pPr>
            <w:r>
              <w:t>при погашении инвестиционного пая (скидка)</w:t>
            </w:r>
          </w:p>
        </w:tc>
        <w:tc>
          <w:tcPr>
            <w:tcW w:w="747" w:type="dxa"/>
            <w:vMerge w:val="restart"/>
            <w:tcBorders>
              <w:top w:val="single" w:color="auto" w:sz="4" w:space="0"/>
              <w:left w:val="single" w:color="auto" w:sz="4" w:space="0"/>
              <w:bottom w:val="single" w:color="auto" w:sz="4" w:space="0"/>
              <w:right w:val="single" w:color="auto" w:sz="4" w:space="0"/>
            </w:tcBorders>
          </w:tcPr>
          <w:p w14:paraId="61881D4E">
            <w:pPr>
              <w:pStyle w:val="11"/>
              <w:jc w:val="center"/>
            </w:pPr>
            <w:r>
              <w:t>0-1,5%</w:t>
            </w:r>
          </w:p>
        </w:tc>
        <w:tc>
          <w:tcPr>
            <w:tcW w:w="146" w:type="dxa"/>
            <w:vMerge w:val="continue"/>
            <w:tcBorders>
              <w:top w:val="nil"/>
              <w:left w:val="single" w:color="auto" w:sz="4" w:space="0"/>
              <w:bottom w:val="nil"/>
              <w:right w:val="single" w:color="auto" w:sz="4" w:space="0"/>
            </w:tcBorders>
          </w:tcPr>
          <w:p w14:paraId="3DD92CCD"/>
        </w:tc>
        <w:tc>
          <w:tcPr>
            <w:tcW w:w="3838" w:type="dxa"/>
            <w:gridSpan w:val="3"/>
            <w:vMerge w:val="continue"/>
            <w:tcBorders>
              <w:top w:val="single" w:color="auto" w:sz="4" w:space="0"/>
              <w:left w:val="single" w:color="auto" w:sz="4" w:space="0"/>
              <w:bottom w:val="single" w:color="auto" w:sz="4" w:space="0"/>
              <w:right w:val="single" w:color="auto" w:sz="4" w:space="0"/>
            </w:tcBorders>
          </w:tcPr>
          <w:p w14:paraId="4F988ACA"/>
        </w:tc>
        <w:tc>
          <w:tcPr>
            <w:tcW w:w="1681" w:type="dxa"/>
            <w:gridSpan w:val="2"/>
            <w:vMerge w:val="continue"/>
            <w:tcBorders>
              <w:top w:val="single" w:color="auto" w:sz="4" w:space="0"/>
              <w:left w:val="single" w:color="auto" w:sz="4" w:space="0"/>
              <w:bottom w:val="single" w:color="auto" w:sz="4" w:space="0"/>
              <w:right w:val="single" w:color="auto" w:sz="4" w:space="0"/>
            </w:tcBorders>
          </w:tcPr>
          <w:p w14:paraId="2A114AD0"/>
        </w:tc>
      </w:tr>
      <w:tr w14:paraId="28CA1AC9">
        <w:tblPrEx>
          <w:tblBorders>
            <w:top w:val="none" w:color="auto" w:sz="0" w:space="0"/>
            <w:left w:val="single" w:color="auto" w:sz="4"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3931" w:type="dxa"/>
            <w:gridSpan w:val="2"/>
            <w:vMerge w:val="continue"/>
            <w:tcBorders>
              <w:top w:val="single" w:color="auto" w:sz="4" w:space="0"/>
              <w:left w:val="single" w:color="auto" w:sz="4" w:space="0"/>
              <w:bottom w:val="single" w:color="auto" w:sz="4" w:space="0"/>
              <w:right w:val="single" w:color="auto" w:sz="4" w:space="0"/>
            </w:tcBorders>
          </w:tcPr>
          <w:p w14:paraId="0443C9A3"/>
        </w:tc>
        <w:tc>
          <w:tcPr>
            <w:tcW w:w="747" w:type="dxa"/>
            <w:vMerge w:val="continue"/>
            <w:tcBorders>
              <w:top w:val="single" w:color="auto" w:sz="4" w:space="0"/>
              <w:left w:val="single" w:color="auto" w:sz="4" w:space="0"/>
              <w:bottom w:val="single" w:color="auto" w:sz="4" w:space="0"/>
              <w:right w:val="single" w:color="auto" w:sz="4" w:space="0"/>
            </w:tcBorders>
          </w:tcPr>
          <w:p w14:paraId="379B23BE"/>
        </w:tc>
        <w:tc>
          <w:tcPr>
            <w:tcW w:w="146" w:type="dxa"/>
            <w:vMerge w:val="continue"/>
            <w:tcBorders>
              <w:top w:val="nil"/>
              <w:left w:val="single" w:color="auto" w:sz="4" w:space="0"/>
              <w:bottom w:val="nil"/>
              <w:right w:val="nil"/>
            </w:tcBorders>
          </w:tcPr>
          <w:p w14:paraId="55B70C56"/>
        </w:tc>
        <w:tc>
          <w:tcPr>
            <w:tcW w:w="5519" w:type="dxa"/>
            <w:gridSpan w:val="5"/>
            <w:tcBorders>
              <w:top w:val="single" w:color="auto" w:sz="4" w:space="0"/>
              <w:left w:val="nil"/>
              <w:bottom w:val="nil"/>
              <w:right w:val="nil"/>
            </w:tcBorders>
          </w:tcPr>
          <w:p w14:paraId="6A6110B0">
            <w:pPr>
              <w:pStyle w:val="11"/>
              <w:rPr>
                <w:sz w:val="4"/>
                <w:szCs w:val="4"/>
              </w:rPr>
            </w:pPr>
          </w:p>
        </w:tc>
      </w:tr>
      <w:tr w14:paraId="4973028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6C726B9B">
            <w:pPr>
              <w:pStyle w:val="11"/>
            </w:pPr>
            <w:r>
              <w:t>Размер комиссий указан в процентах от стоимости чистых активов паевого инвестиционного фонда.</w:t>
            </w:r>
          </w:p>
          <w:p w14:paraId="0378C3AF">
            <w:pPr>
              <w:pStyle w:val="11"/>
            </w:pPr>
          </w:p>
          <w:p w14:paraId="7C970A4C">
            <w:pPr>
              <w:pStyle w:val="11"/>
            </w:pPr>
            <w:r>
              <w:t>Подробные условия указаны в правилах доверительного управления паевым инвестиционным фондом.</w:t>
            </w:r>
          </w:p>
        </w:tc>
      </w:tr>
      <w:tr w14:paraId="5E8759D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343" w:type="dxa"/>
            <w:gridSpan w:val="9"/>
            <w:tcBorders>
              <w:top w:val="nil"/>
              <w:left w:val="nil"/>
              <w:bottom w:val="nil"/>
              <w:right w:val="nil"/>
            </w:tcBorders>
          </w:tcPr>
          <w:p w14:paraId="1FB8866C">
            <w:pPr>
              <w:pStyle w:val="11"/>
              <w:jc w:val="both"/>
              <w:outlineLvl w:val="1"/>
            </w:pPr>
          </w:p>
          <w:p w14:paraId="46C0374E">
            <w:pPr>
              <w:pStyle w:val="11"/>
              <w:jc w:val="both"/>
              <w:outlineLvl w:val="1"/>
            </w:pPr>
          </w:p>
          <w:p w14:paraId="5C345400">
            <w:pPr>
              <w:pStyle w:val="11"/>
              <w:jc w:val="both"/>
              <w:outlineLvl w:val="1"/>
            </w:pPr>
            <w:r>
              <w:t>Раздел 7. Иная информация</w:t>
            </w:r>
          </w:p>
        </w:tc>
      </w:tr>
      <w:tr w14:paraId="32AC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trHeight w:val="7195" w:hRule="atLeast"/>
        </w:trPr>
        <w:tc>
          <w:tcPr>
            <w:tcW w:w="4678" w:type="dxa"/>
            <w:gridSpan w:val="3"/>
            <w:tcBorders>
              <w:top w:val="nil"/>
              <w:left w:val="nil"/>
              <w:bottom w:val="nil"/>
              <w:right w:val="nil"/>
            </w:tcBorders>
          </w:tcPr>
          <w:p w14:paraId="2133F8E4">
            <w:pPr>
              <w:pStyle w:val="11"/>
              <w:spacing w:after="120"/>
              <w:jc w:val="both"/>
            </w:pPr>
            <w:r>
              <w:t xml:space="preserve">1. </w:t>
            </w:r>
            <w:r>
              <w:rPr>
                <w:spacing w:val="-8"/>
              </w:rPr>
              <w:t>Минимальная сумма денежных средств, которая может быть передана в оплату инвестиционных паев, составляет от 10000 рублей. Подробные условия указаны в правилах доверительного управления паевым инвестиционным фондом</w:t>
            </w:r>
            <w:r>
              <w:t>.</w:t>
            </w:r>
          </w:p>
          <w:p w14:paraId="6025647D">
            <w:pPr>
              <w:pStyle w:val="11"/>
              <w:spacing w:after="120"/>
              <w:jc w:val="both"/>
              <w:rPr>
                <w:spacing w:val="-8"/>
              </w:rPr>
            </w:pPr>
            <w:r>
              <w:rPr>
                <w:spacing w:val="-8"/>
              </w:rPr>
              <w:t>2. 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61DFF853">
            <w:pPr>
              <w:pStyle w:val="11"/>
              <w:spacing w:after="120"/>
              <w:jc w:val="both"/>
            </w:pPr>
            <w:r>
              <w:rPr>
                <w:spacing w:val="-8"/>
              </w:rPr>
              <w:t>3. Правила доверительного</w:t>
            </w:r>
            <w:r>
              <w:t xml:space="preserve"> управления паевым инвестиционным фондом </w:t>
            </w:r>
            <w:r>
              <w:rPr>
                <w:spacing w:val="-8"/>
              </w:rPr>
              <w:t>зарегистрированы за № 0645-</w:t>
            </w:r>
            <w:r>
              <w:t>94120472 от 26.10.2006 г.</w:t>
            </w:r>
          </w:p>
          <w:p w14:paraId="098F79A3">
            <w:pPr>
              <w:pStyle w:val="11"/>
              <w:jc w:val="both"/>
            </w:pPr>
            <w:r>
              <w:t>4. Паевой инвестиционный фонд сформирован 06.02.2007 г.</w:t>
            </w:r>
          </w:p>
        </w:tc>
        <w:tc>
          <w:tcPr>
            <w:tcW w:w="146" w:type="dxa"/>
            <w:tcBorders>
              <w:top w:val="nil"/>
              <w:left w:val="nil"/>
              <w:bottom w:val="nil"/>
              <w:right w:val="nil"/>
            </w:tcBorders>
          </w:tcPr>
          <w:p w14:paraId="603A097A">
            <w:pPr>
              <w:pStyle w:val="11"/>
            </w:pPr>
          </w:p>
        </w:tc>
        <w:tc>
          <w:tcPr>
            <w:tcW w:w="5519" w:type="dxa"/>
            <w:gridSpan w:val="5"/>
            <w:tcBorders>
              <w:top w:val="nil"/>
              <w:left w:val="nil"/>
              <w:bottom w:val="nil"/>
              <w:right w:val="nil"/>
            </w:tcBorders>
          </w:tcPr>
          <w:p w14:paraId="43E835B7">
            <w:pPr>
              <w:pStyle w:val="11"/>
              <w:spacing w:after="120"/>
              <w:jc w:val="both"/>
            </w:pPr>
            <w:r>
              <w:t xml:space="preserve">5.  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Pr>
                <w:color w:val="0000FF"/>
              </w:rPr>
              <w:t>www.capital-am.ru</w:t>
            </w:r>
            <w:r>
              <w:t>, по адресу: 123001, город Москва, ул. Садовая-Кудринская, д.32, стр. 1, этаж 7, помещение XIII, комнаты 20, 21, 22, тел.: 8(495)799-98-01.</w:t>
            </w:r>
          </w:p>
          <w:p w14:paraId="3E617530">
            <w:pPr>
              <w:pStyle w:val="11"/>
              <w:spacing w:after="120"/>
              <w:jc w:val="both"/>
            </w:pPr>
            <w:r>
              <w:t xml:space="preserve">6. АО УК «Мой Капитал».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 г.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 г. выдана Федеральной службой по финансовым рынкам без ограничения срока. </w:t>
            </w:r>
          </w:p>
          <w:p w14:paraId="3BD985C2">
            <w:pPr>
              <w:pStyle w:val="11"/>
              <w:spacing w:after="120"/>
              <w:jc w:val="both"/>
            </w:pPr>
            <w:r>
              <w:t xml:space="preserve">7. Специализированный депозитарий Общество с ограниченной ответственностью «Специализированная депозитарная компания «Гарант, сайт </w:t>
            </w:r>
            <w:r>
              <w:rPr>
                <w:color w:val="0000FF"/>
              </w:rPr>
              <w:t>https://sdkgarant.ru/</w:t>
            </w:r>
            <w:r>
              <w:t>.</w:t>
            </w:r>
          </w:p>
          <w:p w14:paraId="22ED3CB8">
            <w:pPr>
              <w:pStyle w:val="11"/>
              <w:spacing w:after="120"/>
              <w:jc w:val="both"/>
            </w:pPr>
            <w:r>
              <w:t xml:space="preserve">8.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Pr>
                <w:color w:val="0000FF"/>
              </w:rPr>
              <w:t>https://sdkgarant.ru/</w:t>
            </w:r>
            <w:r>
              <w:t>.</w:t>
            </w:r>
          </w:p>
          <w:p w14:paraId="2D8A6E0E">
            <w:pPr>
              <w:pStyle w:val="11"/>
              <w:jc w:val="both"/>
            </w:pPr>
            <w:r>
              <w:t xml:space="preserve">9. Надзор и контроль за деятельностью управляющей компании паевого инвестиционного фонда в соответствии с </w:t>
            </w:r>
            <w:r>
              <w:fldChar w:fldCharType="begin"/>
            </w:r>
            <w:r>
              <w:instrText xml:space="preserve"> HYPERLINK "consultantplus://offline/ref=F9D36D3AA549B46466B97430DE00662FF9C7EEA435AC253C4419B59FD612E673F07CA643464304DF22B29C34AE82FE19C871B116DDAFE9B5fCEFJ" </w:instrText>
            </w:r>
            <w:r>
              <w:fldChar w:fldCharType="separate"/>
            </w:r>
            <w:r>
              <w:rPr>
                <w:color w:val="0000FF"/>
              </w:rPr>
              <w:t>подпунктом 10 пункта 2 статьи 55</w:t>
            </w:r>
            <w:r>
              <w:rPr>
                <w:color w:val="0000FF"/>
              </w:rPr>
              <w:fldChar w:fldCharType="end"/>
            </w:r>
            <w:r>
              <w:t xml:space="preserve"> Федерального закона "Об инвестиционных фондах" осуществляет Банк России, сайт www.cbr.ru, номер телефона 8 (800) 300-30-00.</w:t>
            </w:r>
          </w:p>
        </w:tc>
      </w:tr>
    </w:tbl>
    <w:p w14:paraId="63D52975">
      <w:pPr>
        <w:pStyle w:val="11"/>
        <w:jc w:val="both"/>
      </w:pPr>
    </w:p>
    <w:p w14:paraId="03A46265">
      <w:pPr>
        <w:pStyle w:val="11"/>
        <w:ind w:firstLine="540"/>
        <w:jc w:val="both"/>
      </w:pPr>
      <w:r>
        <w:t>--------------------------------</w:t>
      </w:r>
    </w:p>
    <w:p w14:paraId="106AE2B9">
      <w:pPr>
        <w:pStyle w:val="11"/>
        <w:jc w:val="both"/>
      </w:pPr>
      <w:bookmarkStart w:id="1" w:name="P1224"/>
      <w:bookmarkEnd w:id="1"/>
    </w:p>
    <w:p w14:paraId="54447984">
      <w:pPr>
        <w:pStyle w:val="11"/>
        <w:jc w:val="both"/>
      </w:pPr>
    </w:p>
    <w:p w14:paraId="61F6A9D2"/>
    <w:sectPr>
      <w:pgSz w:w="11905" w:h="16838"/>
      <w:pgMar w:top="1418" w:right="851" w:bottom="680"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97F5D"/>
    <w:multiLevelType w:val="multilevel"/>
    <w:tmpl w:val="71797F5D"/>
    <w:lvl w:ilvl="0" w:tentative="0">
      <w:start w:val="1"/>
      <w:numFmt w:val="decimal"/>
      <w:lvlText w:val="%1."/>
      <w:lvlJc w:val="left"/>
      <w:pPr>
        <w:ind w:left="643" w:hanging="36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135E2"/>
    <w:rsid w:val="0002596A"/>
    <w:rsid w:val="00032105"/>
    <w:rsid w:val="00046C23"/>
    <w:rsid w:val="000A6740"/>
    <w:rsid w:val="000B49DF"/>
    <w:rsid w:val="000C7E6D"/>
    <w:rsid w:val="000D0CDD"/>
    <w:rsid w:val="000D420D"/>
    <w:rsid w:val="000E62A1"/>
    <w:rsid w:val="000F1531"/>
    <w:rsid w:val="00100532"/>
    <w:rsid w:val="00102EE3"/>
    <w:rsid w:val="00105586"/>
    <w:rsid w:val="00126CDB"/>
    <w:rsid w:val="00127E8B"/>
    <w:rsid w:val="001536A5"/>
    <w:rsid w:val="0016207A"/>
    <w:rsid w:val="0016372A"/>
    <w:rsid w:val="00166B18"/>
    <w:rsid w:val="0017275B"/>
    <w:rsid w:val="001962E0"/>
    <w:rsid w:val="001A1128"/>
    <w:rsid w:val="001C6982"/>
    <w:rsid w:val="001D11FC"/>
    <w:rsid w:val="001D1A0D"/>
    <w:rsid w:val="001D6E66"/>
    <w:rsid w:val="001E495B"/>
    <w:rsid w:val="001E56AE"/>
    <w:rsid w:val="002164A1"/>
    <w:rsid w:val="00242C49"/>
    <w:rsid w:val="0024684A"/>
    <w:rsid w:val="002640C2"/>
    <w:rsid w:val="002666BB"/>
    <w:rsid w:val="00266920"/>
    <w:rsid w:val="0027755C"/>
    <w:rsid w:val="00283F81"/>
    <w:rsid w:val="00290A04"/>
    <w:rsid w:val="002B2B08"/>
    <w:rsid w:val="002D2CD5"/>
    <w:rsid w:val="00302BE5"/>
    <w:rsid w:val="00325D17"/>
    <w:rsid w:val="0032790F"/>
    <w:rsid w:val="00336C73"/>
    <w:rsid w:val="00363908"/>
    <w:rsid w:val="00363E55"/>
    <w:rsid w:val="0036792F"/>
    <w:rsid w:val="00375CD1"/>
    <w:rsid w:val="003814D6"/>
    <w:rsid w:val="003A0CC5"/>
    <w:rsid w:val="003A1A9C"/>
    <w:rsid w:val="003B1524"/>
    <w:rsid w:val="003C0E4D"/>
    <w:rsid w:val="003C0FA6"/>
    <w:rsid w:val="003C28FB"/>
    <w:rsid w:val="003E7926"/>
    <w:rsid w:val="003F4E70"/>
    <w:rsid w:val="00400165"/>
    <w:rsid w:val="00405760"/>
    <w:rsid w:val="004210A1"/>
    <w:rsid w:val="00424723"/>
    <w:rsid w:val="00443410"/>
    <w:rsid w:val="00460603"/>
    <w:rsid w:val="0046425E"/>
    <w:rsid w:val="00496BC5"/>
    <w:rsid w:val="004A0AA2"/>
    <w:rsid w:val="004C7320"/>
    <w:rsid w:val="004D7AF7"/>
    <w:rsid w:val="004F02B8"/>
    <w:rsid w:val="0050713A"/>
    <w:rsid w:val="00507941"/>
    <w:rsid w:val="00515E9B"/>
    <w:rsid w:val="005177A7"/>
    <w:rsid w:val="00524897"/>
    <w:rsid w:val="005263C0"/>
    <w:rsid w:val="005271F2"/>
    <w:rsid w:val="00530DC2"/>
    <w:rsid w:val="00540F5B"/>
    <w:rsid w:val="005476FC"/>
    <w:rsid w:val="00555F15"/>
    <w:rsid w:val="00557D14"/>
    <w:rsid w:val="005C235E"/>
    <w:rsid w:val="005D0EAF"/>
    <w:rsid w:val="005E1979"/>
    <w:rsid w:val="005E5AFE"/>
    <w:rsid w:val="00605203"/>
    <w:rsid w:val="00605FB1"/>
    <w:rsid w:val="00616A48"/>
    <w:rsid w:val="00626CFD"/>
    <w:rsid w:val="00632D59"/>
    <w:rsid w:val="006346B1"/>
    <w:rsid w:val="00670D4A"/>
    <w:rsid w:val="0067530E"/>
    <w:rsid w:val="006840F2"/>
    <w:rsid w:val="006A57B1"/>
    <w:rsid w:val="006A60DD"/>
    <w:rsid w:val="006E68A0"/>
    <w:rsid w:val="00710338"/>
    <w:rsid w:val="00731BE9"/>
    <w:rsid w:val="00733C8F"/>
    <w:rsid w:val="00740A9B"/>
    <w:rsid w:val="007435BF"/>
    <w:rsid w:val="00751296"/>
    <w:rsid w:val="0077738F"/>
    <w:rsid w:val="00793C2C"/>
    <w:rsid w:val="007A4F90"/>
    <w:rsid w:val="007B69B6"/>
    <w:rsid w:val="007C3D19"/>
    <w:rsid w:val="007D0370"/>
    <w:rsid w:val="007D7E72"/>
    <w:rsid w:val="007E409F"/>
    <w:rsid w:val="007E7B26"/>
    <w:rsid w:val="007F4362"/>
    <w:rsid w:val="00801BC2"/>
    <w:rsid w:val="00811CB7"/>
    <w:rsid w:val="008170E7"/>
    <w:rsid w:val="00824BDB"/>
    <w:rsid w:val="008351BC"/>
    <w:rsid w:val="008416F6"/>
    <w:rsid w:val="00850259"/>
    <w:rsid w:val="0087655A"/>
    <w:rsid w:val="0089178A"/>
    <w:rsid w:val="00896F9D"/>
    <w:rsid w:val="008A25EF"/>
    <w:rsid w:val="008A67CB"/>
    <w:rsid w:val="008E7237"/>
    <w:rsid w:val="009129A2"/>
    <w:rsid w:val="009340EF"/>
    <w:rsid w:val="009461D9"/>
    <w:rsid w:val="0095699C"/>
    <w:rsid w:val="0096031D"/>
    <w:rsid w:val="00963EF4"/>
    <w:rsid w:val="0097774B"/>
    <w:rsid w:val="009A0D7D"/>
    <w:rsid w:val="009A5A6D"/>
    <w:rsid w:val="009B22C0"/>
    <w:rsid w:val="009D15D2"/>
    <w:rsid w:val="00A06100"/>
    <w:rsid w:val="00A25CC8"/>
    <w:rsid w:val="00A350AB"/>
    <w:rsid w:val="00A45F91"/>
    <w:rsid w:val="00A474BE"/>
    <w:rsid w:val="00A53851"/>
    <w:rsid w:val="00A74CCB"/>
    <w:rsid w:val="00A80B4B"/>
    <w:rsid w:val="00A9005D"/>
    <w:rsid w:val="00A914E1"/>
    <w:rsid w:val="00AE3F59"/>
    <w:rsid w:val="00B70365"/>
    <w:rsid w:val="00B82E82"/>
    <w:rsid w:val="00B86502"/>
    <w:rsid w:val="00B9632C"/>
    <w:rsid w:val="00BB33AD"/>
    <w:rsid w:val="00BC484D"/>
    <w:rsid w:val="00BD0DC3"/>
    <w:rsid w:val="00BD4A51"/>
    <w:rsid w:val="00BD702A"/>
    <w:rsid w:val="00BF2D1E"/>
    <w:rsid w:val="00C04C8F"/>
    <w:rsid w:val="00C20F33"/>
    <w:rsid w:val="00C41E25"/>
    <w:rsid w:val="00C557A4"/>
    <w:rsid w:val="00CB0E44"/>
    <w:rsid w:val="00CB6588"/>
    <w:rsid w:val="00CD3D17"/>
    <w:rsid w:val="00CF1684"/>
    <w:rsid w:val="00D06064"/>
    <w:rsid w:val="00D2358C"/>
    <w:rsid w:val="00D23BC6"/>
    <w:rsid w:val="00D578CB"/>
    <w:rsid w:val="00D85FB6"/>
    <w:rsid w:val="00D8617A"/>
    <w:rsid w:val="00D9265A"/>
    <w:rsid w:val="00DA6772"/>
    <w:rsid w:val="00DB54F1"/>
    <w:rsid w:val="00DB68DE"/>
    <w:rsid w:val="00DC7FC6"/>
    <w:rsid w:val="00DF4A65"/>
    <w:rsid w:val="00DF7B64"/>
    <w:rsid w:val="00E25C6F"/>
    <w:rsid w:val="00E36BEF"/>
    <w:rsid w:val="00E73DCB"/>
    <w:rsid w:val="00E75BE8"/>
    <w:rsid w:val="00E929B8"/>
    <w:rsid w:val="00EA73DB"/>
    <w:rsid w:val="00ED6A57"/>
    <w:rsid w:val="00EE0103"/>
    <w:rsid w:val="00EE584E"/>
    <w:rsid w:val="00F005F1"/>
    <w:rsid w:val="00F11FE1"/>
    <w:rsid w:val="00F13CED"/>
    <w:rsid w:val="00F30263"/>
    <w:rsid w:val="00F4636B"/>
    <w:rsid w:val="00F57CCC"/>
    <w:rsid w:val="00F912D0"/>
    <w:rsid w:val="00F9368C"/>
    <w:rsid w:val="00FC5169"/>
    <w:rsid w:val="00FD6C0B"/>
    <w:rsid w:val="00FD7A54"/>
    <w:rsid w:val="50DF5F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14:textFill>
        <w14:solidFill>
          <w14:schemeClr w14:val="folHlink"/>
        </w14:solidFill>
      </w14:textFill>
    </w:rPr>
  </w:style>
  <w:style w:type="character" w:styleId="5">
    <w:name w:val="annotation reference"/>
    <w:basedOn w:val="2"/>
    <w:semiHidden/>
    <w:unhideWhenUsed/>
    <w:qFormat/>
    <w:uiPriority w:val="99"/>
    <w:rPr>
      <w:sz w:val="16"/>
      <w:szCs w:val="16"/>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Balloon Text"/>
    <w:basedOn w:val="1"/>
    <w:link w:val="13"/>
    <w:semiHidden/>
    <w:unhideWhenUsed/>
    <w:qFormat/>
    <w:uiPriority w:val="99"/>
    <w:pPr>
      <w:spacing w:after="0" w:line="240" w:lineRule="auto"/>
    </w:pPr>
    <w:rPr>
      <w:rFonts w:ascii="Segoe UI" w:hAnsi="Segoe UI" w:cs="Segoe UI"/>
      <w:sz w:val="18"/>
      <w:szCs w:val="18"/>
    </w:rPr>
  </w:style>
  <w:style w:type="paragraph" w:styleId="8">
    <w:name w:val="annotation text"/>
    <w:basedOn w:val="1"/>
    <w:link w:val="14"/>
    <w:semiHidden/>
    <w:unhideWhenUsed/>
    <w:qFormat/>
    <w:uiPriority w:val="99"/>
    <w:pPr>
      <w:spacing w:line="240" w:lineRule="auto"/>
    </w:pPr>
    <w:rPr>
      <w:sz w:val="20"/>
      <w:szCs w:val="20"/>
    </w:rPr>
  </w:style>
  <w:style w:type="paragraph" w:styleId="9">
    <w:name w:val="annotation subject"/>
    <w:basedOn w:val="8"/>
    <w:next w:val="8"/>
    <w:link w:val="15"/>
    <w:semiHidden/>
    <w:unhideWhenUsed/>
    <w:qFormat/>
    <w:uiPriority w:val="99"/>
    <w:rPr>
      <w:b/>
      <w:bCs/>
    </w:rPr>
  </w:style>
  <w:style w:type="paragraph" w:styleId="10">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customStyle="1" w:styleId="11">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12">
    <w:name w:val="Стандартный HTML Знак"/>
    <w:basedOn w:val="2"/>
    <w:link w:val="10"/>
    <w:qFormat/>
    <w:uiPriority w:val="99"/>
    <w:rPr>
      <w:rFonts w:ascii="Courier New" w:hAnsi="Courier New" w:eastAsia="Times New Roman" w:cs="Courier New"/>
      <w:sz w:val="20"/>
      <w:szCs w:val="20"/>
      <w:lang w:eastAsia="ru-RU"/>
    </w:rPr>
  </w:style>
  <w:style w:type="character" w:customStyle="1" w:styleId="13">
    <w:name w:val="Текст выноски Знак"/>
    <w:basedOn w:val="2"/>
    <w:link w:val="7"/>
    <w:semiHidden/>
    <w:qFormat/>
    <w:uiPriority w:val="99"/>
    <w:rPr>
      <w:rFonts w:ascii="Segoe UI" w:hAnsi="Segoe UI" w:cs="Segoe UI"/>
      <w:sz w:val="18"/>
      <w:szCs w:val="18"/>
    </w:rPr>
  </w:style>
  <w:style w:type="character" w:customStyle="1" w:styleId="14">
    <w:name w:val="Текст примечания Знак"/>
    <w:basedOn w:val="2"/>
    <w:link w:val="8"/>
    <w:semiHidden/>
    <w:qFormat/>
    <w:uiPriority w:val="99"/>
    <w:rPr>
      <w:sz w:val="20"/>
      <w:szCs w:val="20"/>
    </w:rPr>
  </w:style>
  <w:style w:type="character" w:customStyle="1" w:styleId="15">
    <w:name w:val="Тема примечания Знак"/>
    <w:basedOn w:val="14"/>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bro-ms-srv105\All_Folders\Portfolio%20Management\Dzhioev\&#1050;&#1048;&#1044;&#1099;\2022.11.30\&#1050;&#1048;&#1044;_2022.11.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delete val="1"/>
          </c:dLbls>
          <c:cat>
            <c:numRef>
              <c:f>ДОХОДНОСТЬ!$O$107:$O$111</c:f>
              <c:numCache>
                <c:formatCode>General</c:formatCode>
                <c:ptCount val="5"/>
                <c:pt idx="0">
                  <c:v>2017</c:v>
                </c:pt>
                <c:pt idx="1">
                  <c:v>2018</c:v>
                </c:pt>
                <c:pt idx="2">
                  <c:v>2019</c:v>
                </c:pt>
                <c:pt idx="3">
                  <c:v>2020</c:v>
                </c:pt>
                <c:pt idx="4">
                  <c:v>2021</c:v>
                </c:pt>
              </c:numCache>
            </c:numRef>
          </c:cat>
          <c:val>
            <c:numRef>
              <c:f>ДОХОДНОСТЬ!$P$107:$P$111</c:f>
              <c:numCache>
                <c:formatCode>0%</c:formatCode>
                <c:ptCount val="5"/>
                <c:pt idx="0">
                  <c:v>-0.0125525539924269</c:v>
                </c:pt>
                <c:pt idx="1">
                  <c:v>0.0974251658033507</c:v>
                </c:pt>
                <c:pt idx="2">
                  <c:v>0.195652079742712</c:v>
                </c:pt>
                <c:pt idx="3">
                  <c:v>0.0708405514125696</c:v>
                </c:pt>
                <c:pt idx="4">
                  <c:v>0.153749324145284</c:v>
                </c:pt>
              </c:numCache>
            </c:numRef>
          </c:val>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443534400"/>
        <c:crosses val="autoZero"/>
        <c:crossBetween val="between"/>
      </c:valAx>
      <c:spPr>
        <a:noFill/>
        <a:ln>
          <a:noFill/>
        </a:ln>
        <a:effectLst/>
      </c:spPr>
    </c:plotArea>
    <c:plotVisOnly val="1"/>
    <c:dispBlanksAs val="gap"/>
    <c:showDLblsOverMax val="0"/>
    <c:extLst>
      <c:ext uri="{0b15fc19-7d7d-44ad-8c2d-2c3a37ce22c3}">
        <chartProps xmlns="https://web.wps.cn/et/2018/main" chartId="{82bdc313-769c-428b-9da3-f9fb48b2e478}"/>
      </c:ext>
    </c:extLst>
  </c:chart>
  <c:spPr>
    <a:solidFill>
      <a:schemeClr val="bg1"/>
    </a:solidFill>
    <a:ln w="9525" cap="flat" cmpd="sng" algn="ctr">
      <a:no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B5FA-5C8D-4C6F-879F-0D827AD38D6B}">
  <ds:schemaRefs/>
</ds:datastoreItem>
</file>

<file path=docProps/app.xml><?xml version="1.0" encoding="utf-8"?>
<Properties xmlns="http://schemas.openxmlformats.org/officeDocument/2006/extended-properties" xmlns:vt="http://schemas.openxmlformats.org/officeDocument/2006/docPropsVTypes">
  <Template>Normal</Template>
  <Pages>3</Pages>
  <Words>933</Words>
  <Characters>5319</Characters>
  <Lines>44</Lines>
  <Paragraphs>12</Paragraphs>
  <TotalTime>251</TotalTime>
  <ScaleCrop>false</ScaleCrop>
  <LinksUpToDate>false</LinksUpToDate>
  <CharactersWithSpaces>6240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2021-10-07T08:46:00Z</dcterms:created>
  <dc:creator>Самусенков Артем Алексеевич</dc:creator>
  <cp:lastModifiedBy>Олеся Родченкова</cp:lastModifiedBy>
  <dcterms:modified xsi:type="dcterms:W3CDTF">2025-03-26T19:15:41Z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83DB69EF933F483FA957532108B7882A_13</vt:lpwstr>
  </property>
</Properties>
</file>