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48F" w:rsidRPr="00CA43C7" w:rsidRDefault="002C648F" w:rsidP="00CA43C7">
      <w:pPr>
        <w:tabs>
          <w:tab w:val="left" w:pos="4253"/>
        </w:tabs>
        <w:ind w:left="4962" w:right="-284"/>
        <w:jc w:val="both"/>
        <w:rPr>
          <w:b/>
          <w:bCs/>
          <w:sz w:val="22"/>
          <w:szCs w:val="22"/>
        </w:rPr>
      </w:pPr>
      <w:r w:rsidRPr="00CA43C7">
        <w:rPr>
          <w:b/>
          <w:bCs/>
          <w:sz w:val="22"/>
          <w:szCs w:val="22"/>
        </w:rPr>
        <w:t xml:space="preserve">     УТВЕРЖДЕНО </w:t>
      </w:r>
    </w:p>
    <w:p w:rsidR="002C648F" w:rsidRPr="00CA43C7" w:rsidRDefault="002C648F" w:rsidP="00CA43C7">
      <w:pPr>
        <w:tabs>
          <w:tab w:val="left" w:pos="4253"/>
        </w:tabs>
        <w:ind w:left="4962" w:right="-284"/>
        <w:jc w:val="both"/>
        <w:rPr>
          <w:b/>
          <w:sz w:val="22"/>
          <w:szCs w:val="22"/>
        </w:rPr>
      </w:pPr>
      <w:r w:rsidRPr="00CA43C7">
        <w:rPr>
          <w:b/>
          <w:bCs/>
          <w:sz w:val="22"/>
          <w:szCs w:val="22"/>
        </w:rPr>
        <w:t xml:space="preserve">     Приказом №</w:t>
      </w:r>
      <w:r w:rsidRPr="005F5B62">
        <w:rPr>
          <w:b/>
          <w:bCs/>
          <w:sz w:val="22"/>
          <w:szCs w:val="22"/>
        </w:rPr>
        <w:t>4</w:t>
      </w:r>
      <w:r w:rsidR="00F26003" w:rsidRPr="005F5B62">
        <w:rPr>
          <w:b/>
          <w:bCs/>
          <w:sz w:val="22"/>
          <w:szCs w:val="22"/>
        </w:rPr>
        <w:t>7</w:t>
      </w:r>
      <w:r w:rsidRPr="005F5B62">
        <w:rPr>
          <w:b/>
          <w:bCs/>
          <w:sz w:val="22"/>
          <w:szCs w:val="22"/>
        </w:rPr>
        <w:t>-а/2</w:t>
      </w:r>
      <w:r w:rsidR="00F26003" w:rsidRPr="005F5B62">
        <w:rPr>
          <w:b/>
          <w:bCs/>
          <w:sz w:val="22"/>
          <w:szCs w:val="22"/>
        </w:rPr>
        <w:t>2</w:t>
      </w:r>
      <w:r w:rsidR="00337527" w:rsidRPr="005F5B62">
        <w:rPr>
          <w:b/>
          <w:bCs/>
          <w:sz w:val="22"/>
          <w:szCs w:val="22"/>
        </w:rPr>
        <w:t xml:space="preserve"> от</w:t>
      </w:r>
      <w:r w:rsidR="00337527" w:rsidRPr="00CA43C7">
        <w:rPr>
          <w:b/>
          <w:bCs/>
          <w:sz w:val="22"/>
          <w:szCs w:val="22"/>
        </w:rPr>
        <w:t xml:space="preserve"> «</w:t>
      </w:r>
      <w:r w:rsidR="00CA43C7">
        <w:rPr>
          <w:b/>
          <w:bCs/>
          <w:sz w:val="22"/>
          <w:szCs w:val="22"/>
        </w:rPr>
        <w:t>17</w:t>
      </w:r>
      <w:r w:rsidR="00337527" w:rsidRPr="00CA43C7">
        <w:rPr>
          <w:b/>
          <w:bCs/>
          <w:sz w:val="22"/>
          <w:szCs w:val="22"/>
        </w:rPr>
        <w:t>» марта 2022</w:t>
      </w:r>
      <w:r w:rsidRPr="00CA43C7">
        <w:rPr>
          <w:b/>
          <w:bCs/>
          <w:sz w:val="22"/>
          <w:szCs w:val="22"/>
        </w:rPr>
        <w:t xml:space="preserve"> г. </w:t>
      </w:r>
      <w:r w:rsidRPr="00CA43C7">
        <w:rPr>
          <w:b/>
          <w:sz w:val="22"/>
          <w:szCs w:val="22"/>
        </w:rPr>
        <w:tab/>
      </w:r>
    </w:p>
    <w:p w:rsidR="002C648F" w:rsidRPr="00CA43C7" w:rsidRDefault="002C648F" w:rsidP="002C648F">
      <w:pPr>
        <w:tabs>
          <w:tab w:val="left" w:pos="4253"/>
        </w:tabs>
        <w:ind w:left="5103" w:right="-284"/>
        <w:jc w:val="both"/>
        <w:rPr>
          <w:b/>
          <w:sz w:val="22"/>
          <w:szCs w:val="22"/>
        </w:rPr>
      </w:pPr>
      <w:r w:rsidRPr="00CA43C7">
        <w:rPr>
          <w:b/>
          <w:sz w:val="22"/>
          <w:szCs w:val="22"/>
        </w:rPr>
        <w:tab/>
      </w:r>
    </w:p>
    <w:p w:rsidR="002C648F" w:rsidRPr="00CA43C7" w:rsidRDefault="002C648F" w:rsidP="002C648F">
      <w:pPr>
        <w:tabs>
          <w:tab w:val="left" w:pos="3960"/>
          <w:tab w:val="left" w:pos="4253"/>
          <w:tab w:val="left" w:pos="4320"/>
        </w:tabs>
        <w:ind w:left="5529" w:hanging="426"/>
        <w:jc w:val="both"/>
        <w:rPr>
          <w:b/>
          <w:sz w:val="22"/>
          <w:szCs w:val="22"/>
        </w:rPr>
      </w:pPr>
      <w:r w:rsidRPr="00CA43C7">
        <w:rPr>
          <w:b/>
          <w:sz w:val="22"/>
          <w:szCs w:val="22"/>
        </w:rPr>
        <w:tab/>
        <w:t>Генеральный директор</w:t>
      </w:r>
    </w:p>
    <w:p w:rsidR="002C648F" w:rsidRPr="00CA43C7" w:rsidRDefault="002C648F" w:rsidP="002C648F">
      <w:pPr>
        <w:tabs>
          <w:tab w:val="left" w:pos="3960"/>
          <w:tab w:val="left" w:pos="4253"/>
          <w:tab w:val="left" w:pos="4320"/>
        </w:tabs>
        <w:ind w:left="5529" w:hanging="426"/>
        <w:jc w:val="both"/>
        <w:rPr>
          <w:b/>
          <w:sz w:val="22"/>
          <w:szCs w:val="22"/>
        </w:rPr>
      </w:pPr>
    </w:p>
    <w:p w:rsidR="002C648F" w:rsidRPr="00CA43C7" w:rsidRDefault="002C648F" w:rsidP="002C648F">
      <w:pPr>
        <w:tabs>
          <w:tab w:val="left" w:pos="3960"/>
          <w:tab w:val="left" w:pos="4253"/>
          <w:tab w:val="left" w:pos="4320"/>
        </w:tabs>
        <w:ind w:left="5529" w:hanging="426"/>
        <w:jc w:val="both"/>
        <w:rPr>
          <w:b/>
          <w:sz w:val="22"/>
          <w:szCs w:val="22"/>
        </w:rPr>
      </w:pPr>
      <w:r w:rsidRPr="00CA43C7">
        <w:rPr>
          <w:b/>
          <w:sz w:val="22"/>
          <w:szCs w:val="22"/>
        </w:rPr>
        <w:tab/>
        <w:t>________________И.В. Кривошеева</w:t>
      </w:r>
    </w:p>
    <w:p w:rsidR="002C648F" w:rsidRPr="00CA43C7" w:rsidRDefault="002C648F" w:rsidP="002C648F">
      <w:pPr>
        <w:rPr>
          <w:sz w:val="22"/>
          <w:szCs w:val="22"/>
        </w:rPr>
      </w:pPr>
    </w:p>
    <w:p w:rsidR="002C648F" w:rsidRPr="00CA43C7" w:rsidRDefault="002C648F" w:rsidP="002C648F">
      <w:pPr>
        <w:pStyle w:val="a4"/>
        <w:widowControl/>
        <w:rPr>
          <w:rFonts w:ascii="Arial" w:hAnsi="Arial" w:cs="Arial"/>
          <w:b/>
          <w:sz w:val="22"/>
          <w:szCs w:val="22"/>
          <w:u w:val="none"/>
          <w:lang w:val="ru-RU"/>
        </w:rPr>
      </w:pPr>
    </w:p>
    <w:p w:rsidR="002C648F" w:rsidRPr="00CA43C7" w:rsidRDefault="002C648F" w:rsidP="002C648F">
      <w:pPr>
        <w:pStyle w:val="a4"/>
        <w:widowControl/>
        <w:rPr>
          <w:rFonts w:ascii="Arial" w:hAnsi="Arial" w:cs="Arial"/>
          <w:b/>
          <w:sz w:val="22"/>
          <w:szCs w:val="22"/>
          <w:u w:val="none"/>
          <w:lang w:val="ru-RU"/>
        </w:rPr>
      </w:pPr>
    </w:p>
    <w:p w:rsidR="002C648F" w:rsidRPr="00CA43C7" w:rsidRDefault="002C648F" w:rsidP="002C648F">
      <w:pPr>
        <w:pStyle w:val="a4"/>
        <w:widowControl/>
        <w:rPr>
          <w:rFonts w:ascii="Arial" w:hAnsi="Arial" w:cs="Arial"/>
          <w:b/>
          <w:sz w:val="22"/>
          <w:szCs w:val="22"/>
          <w:u w:val="none"/>
          <w:lang w:val="ru-RU"/>
        </w:rPr>
      </w:pPr>
    </w:p>
    <w:p w:rsidR="002C648F" w:rsidRPr="00CA43C7" w:rsidRDefault="002C648F" w:rsidP="002C648F">
      <w:pPr>
        <w:pStyle w:val="a4"/>
        <w:widowControl/>
        <w:rPr>
          <w:rFonts w:ascii="Arial" w:hAnsi="Arial" w:cs="Arial"/>
          <w:b/>
          <w:sz w:val="22"/>
          <w:szCs w:val="22"/>
          <w:u w:val="none"/>
          <w:lang w:val="ru-RU"/>
        </w:rPr>
      </w:pPr>
    </w:p>
    <w:p w:rsidR="002C648F" w:rsidRPr="00CA43C7" w:rsidRDefault="002C648F" w:rsidP="002C648F">
      <w:pPr>
        <w:pStyle w:val="a4"/>
        <w:widowControl/>
        <w:rPr>
          <w:rFonts w:ascii="Arial" w:hAnsi="Arial" w:cs="Arial"/>
          <w:b/>
          <w:sz w:val="22"/>
          <w:szCs w:val="22"/>
          <w:u w:val="none"/>
          <w:lang w:val="ru-RU"/>
        </w:rPr>
      </w:pPr>
    </w:p>
    <w:p w:rsidR="002C648F" w:rsidRPr="00CA43C7" w:rsidRDefault="002C648F" w:rsidP="002C648F">
      <w:pPr>
        <w:pStyle w:val="a4"/>
        <w:widowControl/>
        <w:rPr>
          <w:rFonts w:ascii="Arial" w:hAnsi="Arial" w:cs="Arial"/>
          <w:b/>
          <w:sz w:val="22"/>
          <w:szCs w:val="22"/>
          <w:u w:val="none"/>
          <w:lang w:val="ru-RU"/>
        </w:rPr>
      </w:pPr>
    </w:p>
    <w:p w:rsidR="002C648F" w:rsidRPr="00CA43C7" w:rsidRDefault="002C648F" w:rsidP="002C648F">
      <w:pPr>
        <w:pStyle w:val="a4"/>
        <w:widowControl/>
        <w:rPr>
          <w:rFonts w:ascii="Arial" w:hAnsi="Arial" w:cs="Arial"/>
          <w:b/>
          <w:sz w:val="22"/>
          <w:szCs w:val="22"/>
          <w:u w:val="none"/>
          <w:lang w:val="ru-RU"/>
        </w:rPr>
      </w:pPr>
    </w:p>
    <w:p w:rsidR="002C648F" w:rsidRPr="00CA43C7" w:rsidRDefault="002C648F" w:rsidP="002C648F">
      <w:pPr>
        <w:pStyle w:val="a4"/>
        <w:widowControl/>
        <w:rPr>
          <w:rFonts w:ascii="Arial" w:hAnsi="Arial" w:cs="Arial"/>
          <w:b/>
          <w:sz w:val="22"/>
          <w:szCs w:val="22"/>
          <w:u w:val="none"/>
          <w:lang w:val="ru-RU"/>
        </w:rPr>
      </w:pPr>
    </w:p>
    <w:p w:rsidR="002C648F" w:rsidRPr="00CA43C7" w:rsidRDefault="002C648F" w:rsidP="002C648F">
      <w:pPr>
        <w:pStyle w:val="a4"/>
        <w:widowControl/>
        <w:rPr>
          <w:rFonts w:ascii="Arial" w:hAnsi="Arial" w:cs="Arial"/>
          <w:b/>
          <w:sz w:val="22"/>
          <w:szCs w:val="22"/>
          <w:u w:val="none"/>
          <w:lang w:val="ru-RU"/>
        </w:rPr>
      </w:pPr>
    </w:p>
    <w:p w:rsidR="002C648F" w:rsidRPr="00CA43C7" w:rsidRDefault="002C648F" w:rsidP="002C648F">
      <w:pPr>
        <w:pStyle w:val="a4"/>
        <w:widowControl/>
        <w:rPr>
          <w:rFonts w:ascii="Arial" w:hAnsi="Arial" w:cs="Arial"/>
          <w:b/>
          <w:sz w:val="22"/>
          <w:szCs w:val="22"/>
          <w:u w:val="none"/>
          <w:lang w:val="ru-RU"/>
        </w:rPr>
      </w:pPr>
    </w:p>
    <w:p w:rsidR="002C648F" w:rsidRPr="00CA43C7" w:rsidRDefault="00BD7991" w:rsidP="002C648F">
      <w:pPr>
        <w:jc w:val="center"/>
        <w:rPr>
          <w:b/>
          <w:caps/>
          <w:sz w:val="22"/>
          <w:szCs w:val="22"/>
        </w:rPr>
      </w:pPr>
      <w:r w:rsidRPr="00CA43C7">
        <w:rPr>
          <w:b/>
          <w:caps/>
          <w:sz w:val="22"/>
          <w:szCs w:val="22"/>
        </w:rPr>
        <w:t xml:space="preserve">ОБЩАЯ </w:t>
      </w:r>
      <w:r w:rsidR="00337527" w:rsidRPr="00CA43C7">
        <w:rPr>
          <w:b/>
          <w:caps/>
          <w:sz w:val="22"/>
          <w:szCs w:val="22"/>
        </w:rPr>
        <w:t>МЕТОДИКА</w:t>
      </w:r>
    </w:p>
    <w:p w:rsidR="002C648F" w:rsidRPr="00CA43C7" w:rsidRDefault="00337527" w:rsidP="002C648F">
      <w:pPr>
        <w:jc w:val="center"/>
        <w:rPr>
          <w:b/>
          <w:sz w:val="22"/>
          <w:szCs w:val="22"/>
        </w:rPr>
      </w:pPr>
      <w:r w:rsidRPr="00CA43C7">
        <w:rPr>
          <w:b/>
          <w:sz w:val="22"/>
          <w:szCs w:val="22"/>
        </w:rPr>
        <w:t>оценки имущества</w:t>
      </w:r>
    </w:p>
    <w:p w:rsidR="00F26003" w:rsidRDefault="002C648F" w:rsidP="002C648F">
      <w:pPr>
        <w:jc w:val="center"/>
        <w:rPr>
          <w:b/>
          <w:sz w:val="22"/>
          <w:szCs w:val="22"/>
        </w:rPr>
      </w:pPr>
      <w:r w:rsidRPr="00CA43C7">
        <w:rPr>
          <w:b/>
          <w:sz w:val="22"/>
          <w:szCs w:val="22"/>
        </w:rPr>
        <w:t xml:space="preserve">Общества с ограниченной ответственностью </w:t>
      </w:r>
    </w:p>
    <w:p w:rsidR="002C648F" w:rsidRPr="00CA43C7" w:rsidRDefault="002C648F" w:rsidP="002C648F">
      <w:pPr>
        <w:jc w:val="center"/>
        <w:rPr>
          <w:b/>
          <w:sz w:val="22"/>
          <w:szCs w:val="22"/>
        </w:rPr>
      </w:pPr>
      <w:r w:rsidRPr="00CA43C7">
        <w:rPr>
          <w:b/>
          <w:sz w:val="22"/>
          <w:szCs w:val="22"/>
        </w:rPr>
        <w:t>«Управляющая компания «Альфа-Капитал»</w:t>
      </w:r>
    </w:p>
    <w:p w:rsidR="002C648F" w:rsidRPr="00CA43C7" w:rsidRDefault="002C648F" w:rsidP="002C648F">
      <w:pPr>
        <w:rPr>
          <w:b/>
          <w:i/>
          <w:sz w:val="22"/>
          <w:szCs w:val="22"/>
        </w:rPr>
      </w:pPr>
    </w:p>
    <w:p w:rsidR="002C648F" w:rsidRPr="00CA43C7" w:rsidRDefault="002C648F" w:rsidP="002C648F">
      <w:pPr>
        <w:pStyle w:val="1"/>
        <w:jc w:val="center"/>
        <w:rPr>
          <w:rFonts w:ascii="Arial" w:hAnsi="Arial" w:cs="Arial"/>
          <w:b/>
          <w:sz w:val="22"/>
          <w:szCs w:val="22"/>
          <w:lang w:val="ru-RU"/>
        </w:rPr>
      </w:pPr>
    </w:p>
    <w:p w:rsidR="002C648F" w:rsidRPr="00CA43C7" w:rsidRDefault="002C648F" w:rsidP="002C648F">
      <w:pPr>
        <w:pStyle w:val="a5"/>
        <w:rPr>
          <w:rFonts w:ascii="Arial" w:hAnsi="Arial" w:cs="Arial"/>
          <w:color w:val="auto"/>
          <w:sz w:val="22"/>
          <w:szCs w:val="22"/>
        </w:rPr>
      </w:pPr>
    </w:p>
    <w:p w:rsidR="002C648F" w:rsidRPr="00CA43C7" w:rsidRDefault="002C648F" w:rsidP="002C648F">
      <w:pPr>
        <w:pStyle w:val="1"/>
        <w:jc w:val="center"/>
        <w:rPr>
          <w:rFonts w:ascii="Arial" w:hAnsi="Arial" w:cs="Arial"/>
          <w:b/>
          <w:sz w:val="22"/>
          <w:szCs w:val="22"/>
          <w:lang w:val="ru-RU"/>
        </w:rPr>
      </w:pPr>
    </w:p>
    <w:p w:rsidR="002C648F" w:rsidRPr="00CA43C7" w:rsidRDefault="002C648F" w:rsidP="002C648F">
      <w:pPr>
        <w:pStyle w:val="1"/>
        <w:jc w:val="center"/>
        <w:rPr>
          <w:rFonts w:ascii="Arial" w:hAnsi="Arial" w:cs="Arial"/>
          <w:b/>
          <w:sz w:val="22"/>
          <w:szCs w:val="22"/>
          <w:lang w:val="ru-RU"/>
        </w:rPr>
      </w:pPr>
    </w:p>
    <w:p w:rsidR="002C648F" w:rsidRPr="00CA43C7" w:rsidRDefault="002C648F" w:rsidP="002C648F">
      <w:pPr>
        <w:pStyle w:val="1"/>
        <w:jc w:val="both"/>
        <w:rPr>
          <w:rFonts w:ascii="Arial" w:hAnsi="Arial" w:cs="Arial"/>
          <w:b/>
          <w:sz w:val="22"/>
          <w:szCs w:val="22"/>
          <w:lang w:val="ru-RU"/>
        </w:rPr>
      </w:pPr>
    </w:p>
    <w:p w:rsidR="002C648F" w:rsidRPr="00CA43C7" w:rsidRDefault="002C648F" w:rsidP="002C648F">
      <w:pPr>
        <w:pStyle w:val="1"/>
        <w:jc w:val="both"/>
        <w:rPr>
          <w:rFonts w:ascii="Arial" w:hAnsi="Arial" w:cs="Arial"/>
          <w:b/>
          <w:sz w:val="22"/>
          <w:szCs w:val="22"/>
          <w:lang w:val="ru-RU"/>
        </w:rPr>
      </w:pPr>
    </w:p>
    <w:p w:rsidR="002C648F" w:rsidRPr="00CA43C7" w:rsidRDefault="002C648F" w:rsidP="002C648F">
      <w:pPr>
        <w:pStyle w:val="1"/>
        <w:jc w:val="both"/>
        <w:rPr>
          <w:rFonts w:ascii="Arial" w:hAnsi="Arial" w:cs="Arial"/>
          <w:b/>
          <w:sz w:val="22"/>
          <w:szCs w:val="22"/>
          <w:lang w:val="ru-RU"/>
        </w:rPr>
      </w:pPr>
    </w:p>
    <w:p w:rsidR="002C648F" w:rsidRPr="00CA43C7" w:rsidRDefault="002C648F" w:rsidP="002C648F">
      <w:pPr>
        <w:pStyle w:val="1"/>
        <w:jc w:val="both"/>
        <w:rPr>
          <w:rFonts w:ascii="Arial" w:hAnsi="Arial" w:cs="Arial"/>
          <w:b/>
          <w:sz w:val="22"/>
          <w:szCs w:val="22"/>
          <w:lang w:val="ru-RU"/>
        </w:rPr>
      </w:pPr>
    </w:p>
    <w:p w:rsidR="002C648F" w:rsidRPr="00CA43C7" w:rsidRDefault="002C648F" w:rsidP="002C648F">
      <w:pPr>
        <w:pStyle w:val="1"/>
        <w:jc w:val="both"/>
        <w:rPr>
          <w:rFonts w:ascii="Arial" w:hAnsi="Arial" w:cs="Arial"/>
          <w:b/>
          <w:sz w:val="22"/>
          <w:szCs w:val="22"/>
          <w:lang w:val="ru-RU"/>
        </w:rPr>
      </w:pPr>
    </w:p>
    <w:p w:rsidR="002C648F" w:rsidRPr="00CA43C7" w:rsidRDefault="002C648F" w:rsidP="002C648F">
      <w:pPr>
        <w:pStyle w:val="1"/>
        <w:jc w:val="both"/>
        <w:rPr>
          <w:rFonts w:ascii="Arial" w:hAnsi="Arial" w:cs="Arial"/>
          <w:b/>
          <w:sz w:val="22"/>
          <w:szCs w:val="22"/>
          <w:lang w:val="ru-RU"/>
        </w:rPr>
      </w:pPr>
    </w:p>
    <w:p w:rsidR="002C648F" w:rsidRPr="00CA43C7" w:rsidRDefault="002C648F" w:rsidP="002C648F">
      <w:pPr>
        <w:pStyle w:val="1"/>
        <w:jc w:val="both"/>
        <w:rPr>
          <w:rFonts w:ascii="Arial" w:hAnsi="Arial" w:cs="Arial"/>
          <w:b/>
          <w:sz w:val="22"/>
          <w:szCs w:val="22"/>
          <w:lang w:val="ru-RU"/>
        </w:rPr>
      </w:pPr>
    </w:p>
    <w:p w:rsidR="002C648F" w:rsidRPr="00CA43C7" w:rsidRDefault="002C648F" w:rsidP="002C648F">
      <w:pPr>
        <w:pStyle w:val="1"/>
        <w:jc w:val="both"/>
        <w:rPr>
          <w:rFonts w:ascii="Arial" w:hAnsi="Arial" w:cs="Arial"/>
          <w:b/>
          <w:sz w:val="22"/>
          <w:szCs w:val="22"/>
          <w:lang w:val="ru-RU"/>
        </w:rPr>
      </w:pPr>
    </w:p>
    <w:p w:rsidR="002C648F" w:rsidRPr="00CA43C7" w:rsidRDefault="002C648F" w:rsidP="002C648F">
      <w:pPr>
        <w:pStyle w:val="1"/>
        <w:jc w:val="both"/>
        <w:rPr>
          <w:rFonts w:ascii="Arial" w:hAnsi="Arial" w:cs="Arial"/>
          <w:b/>
          <w:sz w:val="22"/>
          <w:szCs w:val="22"/>
          <w:lang w:val="ru-RU"/>
        </w:rPr>
      </w:pPr>
    </w:p>
    <w:p w:rsidR="002C648F" w:rsidRPr="00CA43C7" w:rsidRDefault="002C648F" w:rsidP="002C648F">
      <w:pPr>
        <w:pStyle w:val="1"/>
        <w:jc w:val="both"/>
        <w:rPr>
          <w:rFonts w:ascii="Arial" w:hAnsi="Arial" w:cs="Arial"/>
          <w:b/>
          <w:sz w:val="22"/>
          <w:szCs w:val="22"/>
          <w:lang w:val="ru-RU"/>
        </w:rPr>
      </w:pPr>
    </w:p>
    <w:p w:rsidR="002C648F" w:rsidRPr="00CA43C7" w:rsidRDefault="002C648F" w:rsidP="002C648F">
      <w:pPr>
        <w:pStyle w:val="1"/>
        <w:jc w:val="both"/>
        <w:rPr>
          <w:rFonts w:ascii="Arial" w:hAnsi="Arial" w:cs="Arial"/>
          <w:b/>
          <w:sz w:val="22"/>
          <w:szCs w:val="22"/>
          <w:lang w:val="ru-RU"/>
        </w:rPr>
      </w:pPr>
    </w:p>
    <w:p w:rsidR="007E5CE9" w:rsidRDefault="007E5CE9" w:rsidP="002C648F">
      <w:pPr>
        <w:jc w:val="center"/>
        <w:rPr>
          <w:b/>
          <w:sz w:val="22"/>
          <w:szCs w:val="22"/>
        </w:rPr>
      </w:pPr>
    </w:p>
    <w:p w:rsidR="007E5CE9" w:rsidRDefault="007E5CE9" w:rsidP="002C648F">
      <w:pPr>
        <w:jc w:val="center"/>
        <w:rPr>
          <w:b/>
          <w:sz w:val="22"/>
          <w:szCs w:val="22"/>
        </w:rPr>
      </w:pPr>
    </w:p>
    <w:p w:rsidR="007E5CE9" w:rsidRDefault="007E5CE9" w:rsidP="002C648F">
      <w:pPr>
        <w:jc w:val="center"/>
        <w:rPr>
          <w:b/>
          <w:sz w:val="22"/>
          <w:szCs w:val="22"/>
        </w:rPr>
      </w:pPr>
    </w:p>
    <w:p w:rsidR="007E5CE9" w:rsidRDefault="007E5CE9" w:rsidP="002C648F">
      <w:pPr>
        <w:jc w:val="center"/>
        <w:rPr>
          <w:b/>
          <w:sz w:val="22"/>
          <w:szCs w:val="22"/>
        </w:rPr>
      </w:pPr>
    </w:p>
    <w:p w:rsidR="007E5CE9" w:rsidRDefault="007E5CE9" w:rsidP="002C648F">
      <w:pPr>
        <w:jc w:val="center"/>
        <w:rPr>
          <w:b/>
          <w:sz w:val="22"/>
          <w:szCs w:val="22"/>
        </w:rPr>
      </w:pPr>
    </w:p>
    <w:p w:rsidR="007E5CE9" w:rsidRDefault="007E5CE9" w:rsidP="002C648F">
      <w:pPr>
        <w:jc w:val="center"/>
        <w:rPr>
          <w:b/>
          <w:sz w:val="22"/>
          <w:szCs w:val="22"/>
        </w:rPr>
      </w:pPr>
    </w:p>
    <w:p w:rsidR="007E5CE9" w:rsidRDefault="007E5CE9" w:rsidP="002C648F">
      <w:pPr>
        <w:jc w:val="center"/>
        <w:rPr>
          <w:b/>
          <w:sz w:val="22"/>
          <w:szCs w:val="22"/>
        </w:rPr>
      </w:pPr>
    </w:p>
    <w:p w:rsidR="007E5CE9" w:rsidRDefault="007E5CE9" w:rsidP="002C648F">
      <w:pPr>
        <w:jc w:val="center"/>
        <w:rPr>
          <w:b/>
          <w:sz w:val="22"/>
          <w:szCs w:val="22"/>
        </w:rPr>
      </w:pPr>
    </w:p>
    <w:p w:rsidR="007E5CE9" w:rsidRDefault="007E5CE9" w:rsidP="002C648F">
      <w:pPr>
        <w:jc w:val="center"/>
        <w:rPr>
          <w:b/>
          <w:sz w:val="22"/>
          <w:szCs w:val="22"/>
        </w:rPr>
      </w:pPr>
    </w:p>
    <w:p w:rsidR="007E5CE9" w:rsidRDefault="007E5CE9" w:rsidP="002C648F">
      <w:pPr>
        <w:jc w:val="center"/>
        <w:rPr>
          <w:b/>
          <w:sz w:val="22"/>
          <w:szCs w:val="22"/>
        </w:rPr>
      </w:pPr>
    </w:p>
    <w:p w:rsidR="007E5CE9" w:rsidRDefault="007E5CE9" w:rsidP="002C648F">
      <w:pPr>
        <w:jc w:val="center"/>
        <w:rPr>
          <w:b/>
          <w:sz w:val="22"/>
          <w:szCs w:val="22"/>
        </w:rPr>
      </w:pPr>
    </w:p>
    <w:p w:rsidR="002C648F" w:rsidRPr="00CA43C7" w:rsidRDefault="002C648F" w:rsidP="002C648F">
      <w:pPr>
        <w:jc w:val="center"/>
        <w:rPr>
          <w:b/>
          <w:sz w:val="22"/>
          <w:szCs w:val="22"/>
        </w:rPr>
      </w:pPr>
      <w:r w:rsidRPr="00CA43C7">
        <w:rPr>
          <w:b/>
          <w:sz w:val="22"/>
          <w:szCs w:val="22"/>
        </w:rPr>
        <w:t>город Москва</w:t>
      </w:r>
    </w:p>
    <w:p w:rsidR="002C648F" w:rsidRPr="00CA43C7" w:rsidRDefault="002C648F" w:rsidP="002C648F">
      <w:pPr>
        <w:jc w:val="center"/>
        <w:rPr>
          <w:b/>
          <w:sz w:val="22"/>
          <w:szCs w:val="22"/>
        </w:rPr>
      </w:pPr>
    </w:p>
    <w:p w:rsidR="002C648F" w:rsidRDefault="002C648F" w:rsidP="002C648F">
      <w:pPr>
        <w:tabs>
          <w:tab w:val="left" w:pos="-142"/>
        </w:tabs>
        <w:rPr>
          <w:b/>
          <w:sz w:val="22"/>
          <w:szCs w:val="22"/>
        </w:rPr>
      </w:pPr>
    </w:p>
    <w:p w:rsidR="00BA3FA5" w:rsidRPr="00CA43C7" w:rsidRDefault="007E5CE9" w:rsidP="00BA3FA5">
      <w:pPr>
        <w:pStyle w:val="a3"/>
        <w:ind w:left="927"/>
        <w:jc w:val="center"/>
        <w:rPr>
          <w:b/>
          <w:sz w:val="22"/>
          <w:szCs w:val="22"/>
        </w:rPr>
      </w:pPr>
      <w:r>
        <w:rPr>
          <w:b/>
          <w:bCs/>
          <w:sz w:val="22"/>
          <w:szCs w:val="22"/>
        </w:rPr>
        <w:t>1.</w:t>
      </w:r>
      <w:r>
        <w:rPr>
          <w:b/>
          <w:bCs/>
          <w:sz w:val="22"/>
          <w:szCs w:val="22"/>
        </w:rPr>
        <w:tab/>
      </w:r>
      <w:r w:rsidR="00BA3FA5" w:rsidRPr="00CA43C7">
        <w:rPr>
          <w:b/>
          <w:sz w:val="22"/>
          <w:szCs w:val="22"/>
        </w:rPr>
        <w:t>Общие положения</w:t>
      </w:r>
    </w:p>
    <w:p w:rsidR="00BA3FA5" w:rsidRPr="00CA43C7" w:rsidRDefault="00BA3FA5" w:rsidP="00BA3FA5">
      <w:pPr>
        <w:pStyle w:val="a3"/>
        <w:ind w:left="927"/>
        <w:jc w:val="center"/>
        <w:rPr>
          <w:b/>
          <w:sz w:val="22"/>
          <w:szCs w:val="22"/>
        </w:rPr>
      </w:pPr>
    </w:p>
    <w:p w:rsidR="00BA3FA5" w:rsidRPr="00CA43C7" w:rsidRDefault="00BA3FA5" w:rsidP="00CA43C7">
      <w:pPr>
        <w:pStyle w:val="a3"/>
        <w:numPr>
          <w:ilvl w:val="1"/>
          <w:numId w:val="5"/>
        </w:numPr>
        <w:ind w:left="0" w:firstLine="0"/>
        <w:jc w:val="both"/>
        <w:rPr>
          <w:sz w:val="22"/>
          <w:szCs w:val="22"/>
        </w:rPr>
      </w:pPr>
      <w:r w:rsidRPr="00CA43C7">
        <w:rPr>
          <w:sz w:val="22"/>
          <w:szCs w:val="22"/>
        </w:rPr>
        <w:t xml:space="preserve"> Общая методика оценки имущества доверительного управления Общества с ограниченной ответственностью «Управляющая компания «Альфа-Капитал» (далее – Методика)  разработана в соответствии с требованиями Федерального закона от 22.04.1996 года № 39-ФЗ «О рынке ценных бумаг»,  Положения Банка России от 31.01.2017 № 577-П «О правилах ведения внутреннего учета профессиональными участниками рынка ценных бумаг, осуществляющими брокерскую деятельность, дилерскую деятельности и деятельность по управлению ценными бумагами»,  Положения Банка России от 03.08.2015 № 482-П «О единых требованиях к правилам осуществления деятельности по управлению ценными бумагами, к порядку раскрытия управляющими информации, а также о требованиях, направленных на исключение конфликта интересов управляющего, иными требованиями, предъявляемыми уполномоченными федеральными органами исполнительной власти Российской Федерации к ведению внутреннего учета профессиональными участниками рынка ценных бумаг, а также с учетом особенностей деятельности Общества с ограниченной ответственностью «Управляющая компания «Альфа-Капитал» (далее – </w:t>
      </w:r>
      <w:r w:rsidR="007E5CE9" w:rsidRPr="00CA43C7">
        <w:rPr>
          <w:sz w:val="22"/>
          <w:szCs w:val="22"/>
        </w:rPr>
        <w:t>Управляющий</w:t>
      </w:r>
      <w:r w:rsidRPr="00CA43C7">
        <w:rPr>
          <w:sz w:val="22"/>
          <w:szCs w:val="22"/>
        </w:rPr>
        <w:t>).</w:t>
      </w:r>
    </w:p>
    <w:p w:rsidR="00BA3FA5" w:rsidRPr="00CA43C7" w:rsidRDefault="00BA3FA5" w:rsidP="00CA43C7">
      <w:pPr>
        <w:pStyle w:val="a3"/>
        <w:ind w:left="0"/>
        <w:jc w:val="both"/>
        <w:rPr>
          <w:sz w:val="22"/>
          <w:szCs w:val="22"/>
        </w:rPr>
      </w:pPr>
    </w:p>
    <w:p w:rsidR="00BA3FA5" w:rsidRPr="00CA43C7" w:rsidRDefault="00BA3FA5" w:rsidP="00CA43C7">
      <w:pPr>
        <w:pStyle w:val="a3"/>
        <w:numPr>
          <w:ilvl w:val="1"/>
          <w:numId w:val="5"/>
        </w:numPr>
        <w:ind w:left="0" w:firstLine="0"/>
        <w:jc w:val="both"/>
        <w:rPr>
          <w:sz w:val="22"/>
          <w:szCs w:val="22"/>
        </w:rPr>
      </w:pPr>
      <w:r w:rsidRPr="00CA43C7">
        <w:rPr>
          <w:sz w:val="22"/>
          <w:szCs w:val="22"/>
        </w:rPr>
        <w:t xml:space="preserve"> Методика разработана </w:t>
      </w:r>
      <w:r w:rsidR="002F3DA7">
        <w:rPr>
          <w:sz w:val="22"/>
          <w:szCs w:val="22"/>
        </w:rPr>
        <w:t>Управляющим</w:t>
      </w:r>
      <w:r w:rsidR="002F3DA7" w:rsidRPr="00CA43C7">
        <w:rPr>
          <w:sz w:val="22"/>
          <w:szCs w:val="22"/>
        </w:rPr>
        <w:t xml:space="preserve"> </w:t>
      </w:r>
      <w:r w:rsidRPr="00CA43C7">
        <w:rPr>
          <w:sz w:val="22"/>
          <w:szCs w:val="22"/>
        </w:rPr>
        <w:t>в целях определения стоимости имущества</w:t>
      </w:r>
      <w:r w:rsidR="00B06C27" w:rsidRPr="00CA43C7">
        <w:rPr>
          <w:sz w:val="22"/>
          <w:szCs w:val="22"/>
        </w:rPr>
        <w:t xml:space="preserve">, </w:t>
      </w:r>
      <w:r w:rsidRPr="00CA43C7">
        <w:rPr>
          <w:sz w:val="22"/>
          <w:szCs w:val="22"/>
        </w:rPr>
        <w:t xml:space="preserve">передаваемого </w:t>
      </w:r>
      <w:r w:rsidR="00B06C27" w:rsidRPr="00CA43C7">
        <w:rPr>
          <w:sz w:val="22"/>
          <w:szCs w:val="22"/>
        </w:rPr>
        <w:t>Учредителем управления</w:t>
      </w:r>
      <w:r w:rsidRPr="00CA43C7">
        <w:rPr>
          <w:sz w:val="22"/>
          <w:szCs w:val="22"/>
        </w:rPr>
        <w:t xml:space="preserve"> в доверительное управление, находящемся в доверительном управлении</w:t>
      </w:r>
      <w:r w:rsidR="007E5CE9" w:rsidRPr="00CA43C7">
        <w:rPr>
          <w:sz w:val="22"/>
          <w:szCs w:val="22"/>
        </w:rPr>
        <w:t>, а также возвращаемого из доверительного управления</w:t>
      </w:r>
      <w:r w:rsidRPr="00CA43C7">
        <w:rPr>
          <w:sz w:val="22"/>
          <w:szCs w:val="22"/>
        </w:rPr>
        <w:t xml:space="preserve"> по договор</w:t>
      </w:r>
      <w:r w:rsidR="007E5CE9" w:rsidRPr="00CA43C7">
        <w:rPr>
          <w:sz w:val="22"/>
          <w:szCs w:val="22"/>
        </w:rPr>
        <w:t>ам</w:t>
      </w:r>
      <w:r w:rsidRPr="00CA43C7">
        <w:rPr>
          <w:sz w:val="22"/>
          <w:szCs w:val="22"/>
        </w:rPr>
        <w:t xml:space="preserve"> доверительного управления</w:t>
      </w:r>
      <w:r w:rsidR="007E5CE9" w:rsidRPr="00CA43C7">
        <w:rPr>
          <w:sz w:val="22"/>
          <w:szCs w:val="22"/>
        </w:rPr>
        <w:t xml:space="preserve"> ценными бумагами и средствами инвестирования в ценные бумаги на условиях индивидуальных и стандартных стратегий доверительного управления и договорам доверительного управления ценными бумагами на ведение индивидуального инвестиционного счета на условиях стандартных стратегий доверительного управления (далее – Договор доверительного управления)</w:t>
      </w:r>
      <w:r w:rsidRPr="00CA43C7">
        <w:rPr>
          <w:sz w:val="22"/>
          <w:szCs w:val="22"/>
        </w:rPr>
        <w:t>.</w:t>
      </w:r>
    </w:p>
    <w:p w:rsidR="00BA3FA5" w:rsidRPr="00CA43C7" w:rsidRDefault="00BA3FA5" w:rsidP="00CA43C7">
      <w:pPr>
        <w:pStyle w:val="a3"/>
        <w:ind w:left="0"/>
        <w:rPr>
          <w:sz w:val="22"/>
          <w:szCs w:val="22"/>
        </w:rPr>
      </w:pPr>
    </w:p>
    <w:p w:rsidR="00BA3FA5" w:rsidRPr="00CA43C7" w:rsidRDefault="00BA3FA5" w:rsidP="00CA43C7">
      <w:pPr>
        <w:jc w:val="both"/>
        <w:rPr>
          <w:sz w:val="22"/>
          <w:szCs w:val="22"/>
        </w:rPr>
      </w:pPr>
    </w:p>
    <w:p w:rsidR="00BA3FA5" w:rsidRPr="00CA43C7" w:rsidRDefault="00BA3FA5" w:rsidP="00CA43C7">
      <w:pPr>
        <w:jc w:val="both"/>
        <w:rPr>
          <w:sz w:val="22"/>
          <w:szCs w:val="22"/>
        </w:rPr>
      </w:pPr>
    </w:p>
    <w:p w:rsidR="002C648F" w:rsidRPr="00CA43C7" w:rsidRDefault="002C648F" w:rsidP="007E5CE9">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Pr="00CA43C7" w:rsidRDefault="002C648F">
      <w:pPr>
        <w:tabs>
          <w:tab w:val="left" w:pos="-142"/>
        </w:tabs>
        <w:rPr>
          <w:b/>
          <w:bCs/>
          <w:sz w:val="22"/>
          <w:szCs w:val="22"/>
        </w:rPr>
      </w:pPr>
    </w:p>
    <w:p w:rsidR="002C648F" w:rsidRDefault="002C648F">
      <w:pPr>
        <w:tabs>
          <w:tab w:val="left" w:pos="-142"/>
        </w:tabs>
        <w:rPr>
          <w:b/>
          <w:bCs/>
          <w:sz w:val="22"/>
          <w:szCs w:val="22"/>
        </w:rPr>
      </w:pPr>
    </w:p>
    <w:p w:rsidR="000452BB" w:rsidRDefault="000452BB">
      <w:pPr>
        <w:tabs>
          <w:tab w:val="left" w:pos="-142"/>
        </w:tabs>
        <w:rPr>
          <w:b/>
          <w:bCs/>
          <w:sz w:val="22"/>
          <w:szCs w:val="22"/>
        </w:rPr>
      </w:pPr>
    </w:p>
    <w:p w:rsidR="000452BB" w:rsidRDefault="000452BB">
      <w:pPr>
        <w:tabs>
          <w:tab w:val="left" w:pos="-142"/>
        </w:tabs>
        <w:rPr>
          <w:b/>
          <w:bCs/>
          <w:sz w:val="22"/>
          <w:szCs w:val="22"/>
        </w:rPr>
      </w:pPr>
    </w:p>
    <w:p w:rsidR="000452BB" w:rsidRDefault="000452BB">
      <w:pPr>
        <w:tabs>
          <w:tab w:val="left" w:pos="-142"/>
        </w:tabs>
        <w:rPr>
          <w:b/>
          <w:bCs/>
          <w:sz w:val="22"/>
          <w:szCs w:val="22"/>
        </w:rPr>
      </w:pPr>
    </w:p>
    <w:p w:rsidR="007E5CE9" w:rsidRPr="00CA43C7" w:rsidRDefault="007E5CE9">
      <w:pPr>
        <w:tabs>
          <w:tab w:val="left" w:pos="-142"/>
        </w:tabs>
        <w:rPr>
          <w:b/>
          <w:bCs/>
          <w:sz w:val="22"/>
          <w:szCs w:val="22"/>
        </w:rPr>
      </w:pPr>
    </w:p>
    <w:p w:rsidR="002C648F" w:rsidRPr="00CA43C7" w:rsidRDefault="007E5CE9" w:rsidP="00CA43C7">
      <w:pPr>
        <w:pStyle w:val="a3"/>
        <w:ind w:left="0"/>
        <w:jc w:val="center"/>
        <w:rPr>
          <w:b/>
          <w:sz w:val="22"/>
          <w:szCs w:val="22"/>
        </w:rPr>
      </w:pPr>
      <w:r>
        <w:rPr>
          <w:b/>
          <w:sz w:val="22"/>
          <w:szCs w:val="22"/>
        </w:rPr>
        <w:t>2.</w:t>
      </w:r>
      <w:r>
        <w:rPr>
          <w:b/>
          <w:sz w:val="22"/>
          <w:szCs w:val="22"/>
        </w:rPr>
        <w:tab/>
      </w:r>
      <w:r w:rsidR="00AB3120" w:rsidRPr="00CA43C7">
        <w:rPr>
          <w:b/>
          <w:sz w:val="22"/>
          <w:szCs w:val="22"/>
        </w:rPr>
        <w:t>Порядок определения стоимости имущества</w:t>
      </w:r>
    </w:p>
    <w:p w:rsidR="00A422D4" w:rsidRPr="00CA43C7" w:rsidRDefault="00A422D4" w:rsidP="00CA43C7">
      <w:pPr>
        <w:pStyle w:val="a3"/>
        <w:ind w:left="0"/>
        <w:jc w:val="center"/>
        <w:rPr>
          <w:b/>
          <w:sz w:val="22"/>
          <w:szCs w:val="22"/>
        </w:rPr>
      </w:pPr>
    </w:p>
    <w:p w:rsidR="002C648F" w:rsidRPr="00CA43C7" w:rsidRDefault="00AB3120" w:rsidP="00CA43C7">
      <w:pPr>
        <w:pStyle w:val="a3"/>
        <w:ind w:left="0"/>
        <w:jc w:val="both"/>
        <w:rPr>
          <w:sz w:val="22"/>
          <w:szCs w:val="22"/>
        </w:rPr>
      </w:pPr>
      <w:r w:rsidRPr="00CA43C7">
        <w:rPr>
          <w:sz w:val="22"/>
          <w:szCs w:val="22"/>
        </w:rPr>
        <w:t xml:space="preserve">2.1. </w:t>
      </w:r>
      <w:r w:rsidR="002C648F" w:rsidRPr="00CA43C7">
        <w:rPr>
          <w:sz w:val="22"/>
          <w:szCs w:val="22"/>
        </w:rPr>
        <w:t xml:space="preserve">Оценочная стоимость передаваемого в управление имущества </w:t>
      </w:r>
      <w:r w:rsidR="002C648F" w:rsidRPr="00CA43C7">
        <w:rPr>
          <w:i/>
          <w:sz w:val="22"/>
          <w:szCs w:val="22"/>
        </w:rPr>
        <w:t>для целей определения дохода</w:t>
      </w:r>
      <w:r w:rsidR="002C648F" w:rsidRPr="00CA43C7">
        <w:rPr>
          <w:sz w:val="22"/>
          <w:szCs w:val="22"/>
        </w:rPr>
        <w:t xml:space="preserve"> от управления рассчитывается как сумма денежных средств и оценочной стоимости ценных бумаг, составляющих имущество, переданное в управление, на дату передачи.</w:t>
      </w:r>
    </w:p>
    <w:p w:rsidR="00AB3120" w:rsidRPr="00CA43C7" w:rsidRDefault="00AB3120" w:rsidP="00CA43C7">
      <w:pPr>
        <w:pStyle w:val="a3"/>
        <w:ind w:left="0"/>
        <w:jc w:val="both"/>
        <w:rPr>
          <w:sz w:val="22"/>
          <w:szCs w:val="22"/>
        </w:rPr>
      </w:pPr>
    </w:p>
    <w:p w:rsidR="002C648F" w:rsidRPr="00CA43C7" w:rsidRDefault="00AB3120" w:rsidP="00CA43C7">
      <w:pPr>
        <w:pStyle w:val="a3"/>
        <w:ind w:left="0"/>
        <w:jc w:val="both"/>
        <w:rPr>
          <w:sz w:val="22"/>
          <w:szCs w:val="22"/>
        </w:rPr>
      </w:pPr>
      <w:r w:rsidRPr="00CA43C7">
        <w:rPr>
          <w:sz w:val="22"/>
          <w:szCs w:val="22"/>
        </w:rPr>
        <w:t xml:space="preserve">2.2. </w:t>
      </w:r>
      <w:r w:rsidR="002C648F" w:rsidRPr="00CA43C7">
        <w:rPr>
          <w:sz w:val="22"/>
          <w:szCs w:val="22"/>
        </w:rPr>
        <w:t xml:space="preserve">Оценочная стоимость возвращаемого из управления имущества </w:t>
      </w:r>
      <w:r w:rsidR="002C648F" w:rsidRPr="00CA43C7">
        <w:rPr>
          <w:i/>
          <w:sz w:val="22"/>
          <w:szCs w:val="22"/>
        </w:rPr>
        <w:t>для целей определения дохода от управления</w:t>
      </w:r>
      <w:r w:rsidR="002C648F" w:rsidRPr="00CA43C7">
        <w:rPr>
          <w:sz w:val="22"/>
          <w:szCs w:val="22"/>
        </w:rPr>
        <w:t xml:space="preserve"> рассчитывается как сумма денежных средств и оценочной стоимости ценных бумаг, составляющих возвращаемое имущество, на дату передачи.</w:t>
      </w:r>
    </w:p>
    <w:p w:rsidR="00AB3120" w:rsidRPr="00CA43C7" w:rsidRDefault="00AB3120" w:rsidP="00CA43C7">
      <w:pPr>
        <w:pStyle w:val="a3"/>
        <w:ind w:left="0"/>
        <w:jc w:val="both"/>
        <w:rPr>
          <w:sz w:val="22"/>
          <w:szCs w:val="22"/>
        </w:rPr>
      </w:pPr>
    </w:p>
    <w:p w:rsidR="002C648F" w:rsidRPr="00CA43C7" w:rsidRDefault="00AB3120" w:rsidP="00CA43C7">
      <w:pPr>
        <w:pStyle w:val="a3"/>
        <w:ind w:left="0"/>
        <w:jc w:val="both"/>
        <w:rPr>
          <w:sz w:val="22"/>
          <w:szCs w:val="22"/>
        </w:rPr>
      </w:pPr>
      <w:r w:rsidRPr="00CA43C7">
        <w:rPr>
          <w:sz w:val="22"/>
          <w:szCs w:val="22"/>
        </w:rPr>
        <w:t xml:space="preserve">2.3. </w:t>
      </w:r>
      <w:r w:rsidR="002C648F" w:rsidRPr="00CA43C7">
        <w:rPr>
          <w:sz w:val="22"/>
          <w:szCs w:val="22"/>
        </w:rPr>
        <w:t xml:space="preserve">Оценочная стоимость находящегося в управлении имущества </w:t>
      </w:r>
      <w:r w:rsidR="002C648F" w:rsidRPr="00CA43C7">
        <w:rPr>
          <w:i/>
          <w:sz w:val="22"/>
          <w:szCs w:val="22"/>
        </w:rPr>
        <w:t>в целях определения дохода</w:t>
      </w:r>
      <w:r w:rsidR="002C648F" w:rsidRPr="00CA43C7">
        <w:rPr>
          <w:sz w:val="22"/>
          <w:szCs w:val="22"/>
        </w:rPr>
        <w:t xml:space="preserve"> от управления рассчитывается как сумма денежных средств, дебиторской, кредиторской задолженности и оценочной стоимости ценных бумаг, составляющих имущество, на Отчетную дату (последний календарный день квартала).</w:t>
      </w:r>
    </w:p>
    <w:p w:rsidR="00AB3120" w:rsidRPr="00CA43C7" w:rsidRDefault="00AB3120" w:rsidP="00CA43C7">
      <w:pPr>
        <w:pStyle w:val="a3"/>
        <w:ind w:left="0"/>
        <w:jc w:val="both"/>
        <w:rPr>
          <w:sz w:val="22"/>
          <w:szCs w:val="22"/>
        </w:rPr>
      </w:pPr>
    </w:p>
    <w:p w:rsidR="002C648F" w:rsidRPr="00CA43C7" w:rsidRDefault="00AB3120" w:rsidP="00CA43C7">
      <w:pPr>
        <w:pStyle w:val="a3"/>
        <w:ind w:left="0"/>
        <w:jc w:val="both"/>
        <w:rPr>
          <w:sz w:val="22"/>
          <w:szCs w:val="22"/>
        </w:rPr>
      </w:pPr>
      <w:r w:rsidRPr="00CA43C7">
        <w:rPr>
          <w:sz w:val="22"/>
          <w:szCs w:val="22"/>
        </w:rPr>
        <w:t xml:space="preserve">2.4. </w:t>
      </w:r>
      <w:r w:rsidR="002C648F" w:rsidRPr="00CA43C7">
        <w:rPr>
          <w:sz w:val="22"/>
          <w:szCs w:val="22"/>
        </w:rPr>
        <w:t>В случае если в течение Отчетного периода, за который рассчитывается доход, в состав имущества, находящегося в управлении, дополнительно передавалось имущество, то для целей определения дохода оценочная стоимость имущества на Отчетную дату уменьшается на оценочную стоимость дополнительно переданного имущества.</w:t>
      </w:r>
    </w:p>
    <w:p w:rsidR="002C648F" w:rsidRPr="00CA43C7" w:rsidRDefault="002C648F" w:rsidP="00CA43C7">
      <w:pPr>
        <w:pStyle w:val="a3"/>
        <w:ind w:left="0"/>
        <w:jc w:val="both"/>
        <w:rPr>
          <w:sz w:val="22"/>
          <w:szCs w:val="22"/>
        </w:rPr>
      </w:pPr>
      <w:r w:rsidRPr="00CA43C7">
        <w:rPr>
          <w:sz w:val="22"/>
          <w:szCs w:val="22"/>
        </w:rPr>
        <w:t>В случае если в течение Отчетного периода часть имущества возвращалась из управления, то для целей определения дохода, оценочная стоимость имущества на Отчетную дату увеличивается на оценочную стоимость возвращенного из управления имущества.</w:t>
      </w:r>
    </w:p>
    <w:p w:rsidR="00AB3120" w:rsidRPr="00CA43C7" w:rsidRDefault="00AB3120" w:rsidP="00CA43C7">
      <w:pPr>
        <w:pStyle w:val="a3"/>
        <w:ind w:left="0"/>
        <w:jc w:val="both"/>
        <w:rPr>
          <w:sz w:val="22"/>
          <w:szCs w:val="22"/>
        </w:rPr>
      </w:pPr>
    </w:p>
    <w:p w:rsidR="002C648F" w:rsidRPr="00CA43C7" w:rsidRDefault="00AB3120" w:rsidP="00CA43C7">
      <w:pPr>
        <w:pStyle w:val="a3"/>
        <w:ind w:left="0"/>
        <w:jc w:val="both"/>
        <w:rPr>
          <w:sz w:val="22"/>
          <w:szCs w:val="22"/>
        </w:rPr>
      </w:pPr>
      <w:r w:rsidRPr="00CA43C7">
        <w:rPr>
          <w:sz w:val="22"/>
          <w:szCs w:val="22"/>
        </w:rPr>
        <w:t xml:space="preserve">2.5. </w:t>
      </w:r>
      <w:r w:rsidR="002C648F" w:rsidRPr="00CA43C7">
        <w:rPr>
          <w:sz w:val="22"/>
          <w:szCs w:val="22"/>
        </w:rPr>
        <w:t>Доход от управления имуществом, рассчитывается на Отчетную дату как разница между оценочной стоимостью имущества на Отчетную дату и оценочной стоимостью имущества на предшествующую Отчетную дату</w:t>
      </w:r>
      <w:r w:rsidRPr="00CA43C7">
        <w:rPr>
          <w:sz w:val="22"/>
          <w:szCs w:val="22"/>
        </w:rPr>
        <w:t>.</w:t>
      </w:r>
    </w:p>
    <w:p w:rsidR="00AB3120" w:rsidRPr="00CA43C7" w:rsidRDefault="00AB3120" w:rsidP="00CA43C7">
      <w:pPr>
        <w:pStyle w:val="a3"/>
        <w:ind w:left="0"/>
        <w:jc w:val="both"/>
        <w:rPr>
          <w:sz w:val="22"/>
          <w:szCs w:val="22"/>
        </w:rPr>
      </w:pPr>
    </w:p>
    <w:p w:rsidR="002C648F" w:rsidRPr="00CA43C7" w:rsidRDefault="00C72B45" w:rsidP="00CA43C7">
      <w:pPr>
        <w:pStyle w:val="a3"/>
        <w:ind w:left="0"/>
        <w:jc w:val="both"/>
        <w:rPr>
          <w:sz w:val="22"/>
          <w:szCs w:val="22"/>
        </w:rPr>
      </w:pPr>
      <w:r w:rsidRPr="00CA43C7">
        <w:rPr>
          <w:sz w:val="22"/>
          <w:szCs w:val="22"/>
        </w:rPr>
        <w:lastRenderedPageBreak/>
        <w:t xml:space="preserve">2.6. </w:t>
      </w:r>
      <w:r w:rsidR="002C648F" w:rsidRPr="00CA43C7">
        <w:rPr>
          <w:sz w:val="22"/>
          <w:szCs w:val="22"/>
        </w:rPr>
        <w:t>Стороны устанавливают следующую методику оценки имущества Учредителя управления при приеме их в управление от Учредителя управления и при указании в Отчете.</w:t>
      </w:r>
    </w:p>
    <w:p w:rsidR="00B06C27" w:rsidRPr="00CA43C7" w:rsidRDefault="00B06C27" w:rsidP="00CA43C7">
      <w:pPr>
        <w:pStyle w:val="a3"/>
        <w:ind w:left="0"/>
        <w:jc w:val="both"/>
        <w:rPr>
          <w:sz w:val="22"/>
          <w:szCs w:val="22"/>
        </w:rPr>
      </w:pPr>
    </w:p>
    <w:p w:rsidR="002C648F" w:rsidRPr="00CA43C7" w:rsidRDefault="00C72B45" w:rsidP="00CA43C7">
      <w:pPr>
        <w:pStyle w:val="a3"/>
        <w:ind w:left="0"/>
        <w:jc w:val="both"/>
        <w:rPr>
          <w:sz w:val="22"/>
          <w:szCs w:val="22"/>
        </w:rPr>
      </w:pPr>
      <w:r w:rsidRPr="00CA43C7">
        <w:rPr>
          <w:sz w:val="22"/>
          <w:szCs w:val="22"/>
        </w:rPr>
        <w:t xml:space="preserve">2.6.1. </w:t>
      </w:r>
      <w:r w:rsidR="002C648F" w:rsidRPr="00CA43C7">
        <w:rPr>
          <w:sz w:val="22"/>
          <w:szCs w:val="22"/>
        </w:rPr>
        <w:t>Оценочная стоимость имущества, передаваемого в управление, рассчитывается как сумма денежных средств и оценочной стоимости ценных бумаг, определяемая передающей Стороной на дату передачи, включая дату передачи. Имущество передается в управление по оценочной стоимости.</w:t>
      </w:r>
    </w:p>
    <w:p w:rsidR="002C648F" w:rsidRPr="00CA43C7" w:rsidRDefault="00C72B45" w:rsidP="00CA43C7">
      <w:pPr>
        <w:pStyle w:val="a3"/>
        <w:ind w:left="0"/>
        <w:jc w:val="both"/>
        <w:rPr>
          <w:sz w:val="22"/>
          <w:szCs w:val="22"/>
        </w:rPr>
      </w:pPr>
      <w:r w:rsidRPr="00CA43C7">
        <w:rPr>
          <w:sz w:val="22"/>
          <w:szCs w:val="22"/>
        </w:rPr>
        <w:t xml:space="preserve">2.6.2. </w:t>
      </w:r>
      <w:r w:rsidR="002C648F" w:rsidRPr="00CA43C7">
        <w:rPr>
          <w:sz w:val="22"/>
          <w:szCs w:val="22"/>
        </w:rPr>
        <w:t>Оценочная стоимость имущества, возвращаемого из управления, рассчитывается как сумма денежных средств, дебиторской задолженности, возникшей в результате исполнения Договора, оценочной стоимости ценных бумаг, составляющих возвращаемое Имущество, определяемая передающей Стороной на дату передачи, включая дату передачи, с учетом существующих обязательств по   Договору.</w:t>
      </w:r>
    </w:p>
    <w:p w:rsidR="002C648F" w:rsidRPr="00CA43C7" w:rsidRDefault="00C72B45" w:rsidP="00CA43C7">
      <w:pPr>
        <w:pStyle w:val="a3"/>
        <w:ind w:left="0"/>
        <w:jc w:val="both"/>
        <w:rPr>
          <w:sz w:val="22"/>
          <w:szCs w:val="22"/>
        </w:rPr>
      </w:pPr>
      <w:r w:rsidRPr="00CA43C7">
        <w:rPr>
          <w:iCs/>
          <w:sz w:val="22"/>
          <w:szCs w:val="22"/>
        </w:rPr>
        <w:t xml:space="preserve">2.6.3. </w:t>
      </w:r>
      <w:r w:rsidR="002C648F" w:rsidRPr="00CA43C7">
        <w:rPr>
          <w:iCs/>
          <w:sz w:val="22"/>
          <w:szCs w:val="22"/>
        </w:rPr>
        <w:t>Оценочная стоимость имущества, находящегося в управлении</w:t>
      </w:r>
      <w:r w:rsidR="002C648F" w:rsidRPr="00CA43C7">
        <w:rPr>
          <w:sz w:val="22"/>
          <w:szCs w:val="22"/>
        </w:rPr>
        <w:t xml:space="preserve">, в целях определения дохода от управления рассчитывается как сумма денежных средств и оценочной стоимости ценных бумаг, составляющих Имущество, дебиторской, кредиторской задолженности по состоянию на отчетную дату. </w:t>
      </w:r>
    </w:p>
    <w:p w:rsidR="00C72B45" w:rsidRPr="00CA43C7" w:rsidRDefault="00C72B45" w:rsidP="00CA43C7">
      <w:pPr>
        <w:pStyle w:val="a3"/>
        <w:ind w:left="0"/>
        <w:jc w:val="both"/>
        <w:rPr>
          <w:iCs/>
          <w:sz w:val="22"/>
          <w:szCs w:val="22"/>
        </w:rPr>
      </w:pPr>
      <w:r w:rsidRPr="00CA43C7">
        <w:rPr>
          <w:sz w:val="22"/>
          <w:szCs w:val="22"/>
        </w:rPr>
        <w:t xml:space="preserve">2.6.4. </w:t>
      </w:r>
      <w:r w:rsidR="002C648F" w:rsidRPr="00CA43C7">
        <w:rPr>
          <w:sz w:val="22"/>
          <w:szCs w:val="22"/>
        </w:rPr>
        <w:t>Оценочная стоимость денежных средств, входящих в состав имущества, равна сумме этих денежных средств, выраженной в рублях Российской Федерации.</w:t>
      </w:r>
    </w:p>
    <w:p w:rsidR="002C648F" w:rsidRPr="00CA43C7" w:rsidRDefault="00C72B45" w:rsidP="00CA43C7">
      <w:pPr>
        <w:pStyle w:val="a3"/>
        <w:ind w:left="0"/>
        <w:jc w:val="both"/>
        <w:rPr>
          <w:sz w:val="22"/>
          <w:szCs w:val="22"/>
        </w:rPr>
      </w:pPr>
      <w:r w:rsidRPr="00CA43C7">
        <w:rPr>
          <w:iCs/>
          <w:sz w:val="22"/>
          <w:szCs w:val="22"/>
        </w:rPr>
        <w:t xml:space="preserve">2.6.5. </w:t>
      </w:r>
      <w:r w:rsidR="002C648F" w:rsidRPr="00CA43C7">
        <w:rPr>
          <w:iCs/>
          <w:sz w:val="22"/>
          <w:szCs w:val="22"/>
        </w:rPr>
        <w:t>Оценочная стоимость ценных бумаг, находящихся в управлении</w:t>
      </w:r>
      <w:r w:rsidR="002C648F" w:rsidRPr="00CA43C7">
        <w:rPr>
          <w:sz w:val="22"/>
          <w:szCs w:val="22"/>
        </w:rPr>
        <w:t xml:space="preserve">, </w:t>
      </w:r>
      <w:r w:rsidR="002C648F" w:rsidRPr="00CA43C7">
        <w:rPr>
          <w:iCs/>
          <w:sz w:val="22"/>
          <w:szCs w:val="22"/>
        </w:rPr>
        <w:t xml:space="preserve">указываемая в Отчете, </w:t>
      </w:r>
      <w:r w:rsidR="002C648F" w:rsidRPr="00CA43C7">
        <w:rPr>
          <w:sz w:val="22"/>
          <w:szCs w:val="22"/>
        </w:rPr>
        <w:t>определяется в следующем порядке:</w:t>
      </w:r>
    </w:p>
    <w:p w:rsidR="002C648F" w:rsidRPr="00CA43C7" w:rsidRDefault="002C648F" w:rsidP="00CA43C7">
      <w:pPr>
        <w:pStyle w:val="a3"/>
        <w:numPr>
          <w:ilvl w:val="0"/>
          <w:numId w:val="6"/>
        </w:numPr>
        <w:ind w:left="0" w:firstLine="0"/>
        <w:jc w:val="both"/>
        <w:rPr>
          <w:sz w:val="22"/>
          <w:szCs w:val="22"/>
        </w:rPr>
      </w:pPr>
      <w:r w:rsidRPr="00CA43C7">
        <w:rPr>
          <w:sz w:val="22"/>
          <w:szCs w:val="22"/>
        </w:rPr>
        <w:t xml:space="preserve">для акций и паев </w:t>
      </w:r>
      <w:proofErr w:type="gramStart"/>
      <w:r w:rsidRPr="00CA43C7">
        <w:rPr>
          <w:sz w:val="22"/>
          <w:szCs w:val="22"/>
        </w:rPr>
        <w:t>российских и иностранных эмитентов</w:t>
      </w:r>
      <w:proofErr w:type="gramEnd"/>
      <w:r w:rsidRPr="00CA43C7">
        <w:rPr>
          <w:sz w:val="22"/>
          <w:szCs w:val="22"/>
        </w:rPr>
        <w:t xml:space="preserve"> допущенных к торгам Публичное акционерное общество «Московская Биржа ММВБ-РТС»</w:t>
      </w:r>
      <w:r w:rsidRPr="00CA43C7">
        <w:rPr>
          <w:sz w:val="22"/>
          <w:szCs w:val="22"/>
          <w:shd w:val="clear" w:color="auto" w:fill="FFFFFF"/>
        </w:rPr>
        <w:t xml:space="preserve"> (далее – Московская Биржа)</w:t>
      </w:r>
      <w:r w:rsidRPr="00CA43C7">
        <w:rPr>
          <w:sz w:val="22"/>
          <w:szCs w:val="22"/>
        </w:rPr>
        <w:t xml:space="preserve"> – по рыночной цене marketprice3, рассчитываемой Московской Биржей. Если на дату определения оценочной стоимости ценной бумаги рыночная цена Московской Биржей не рассчитана, то оценочной стоимостью ценной бумаги является последняя рассчитанная рыночная цена на Московской Бирже за последние 90 дней. Если на Московской Бирже рыночная цена не рассчитана ни на одну из дат, то оценочной стоимостью ценной бумаги иностранного эмитента является ее рыночная цена, рассчитываемая </w:t>
      </w:r>
      <w:proofErr w:type="spellStart"/>
      <w:r w:rsidRPr="00CA43C7">
        <w:rPr>
          <w:sz w:val="22"/>
          <w:szCs w:val="22"/>
        </w:rPr>
        <w:t>Блумберг</w:t>
      </w:r>
      <w:proofErr w:type="spellEnd"/>
      <w:r w:rsidRPr="00CA43C7">
        <w:rPr>
          <w:sz w:val="22"/>
          <w:szCs w:val="22"/>
        </w:rPr>
        <w:t xml:space="preserve"> (методика взятия котировки, как и для иностранных ценных бумаг, используется композит) на дату определения стоимости. Если на дату определения оценочной стоимости ценной бумаги рыночная цена </w:t>
      </w:r>
      <w:proofErr w:type="spellStart"/>
      <w:r w:rsidRPr="00CA43C7">
        <w:rPr>
          <w:sz w:val="22"/>
          <w:szCs w:val="22"/>
        </w:rPr>
        <w:t>Блумберг</w:t>
      </w:r>
      <w:proofErr w:type="spellEnd"/>
      <w:r w:rsidRPr="00CA43C7">
        <w:rPr>
          <w:sz w:val="22"/>
          <w:szCs w:val="22"/>
        </w:rPr>
        <w:t xml:space="preserve"> не рассчитана, то стоимостью ценной бумаги является последняя рассчитанная рыночная цена на </w:t>
      </w:r>
      <w:proofErr w:type="spellStart"/>
      <w:r w:rsidRPr="00CA43C7">
        <w:rPr>
          <w:sz w:val="22"/>
          <w:szCs w:val="22"/>
        </w:rPr>
        <w:t>Блумберг</w:t>
      </w:r>
      <w:proofErr w:type="spellEnd"/>
      <w:r w:rsidRPr="00CA43C7">
        <w:rPr>
          <w:sz w:val="22"/>
          <w:szCs w:val="22"/>
        </w:rPr>
        <w:t xml:space="preserve">. Если и на Московской Бирже и </w:t>
      </w:r>
      <w:proofErr w:type="spellStart"/>
      <w:r w:rsidRPr="00CA43C7">
        <w:rPr>
          <w:sz w:val="22"/>
          <w:szCs w:val="22"/>
        </w:rPr>
        <w:t>Блумберг</w:t>
      </w:r>
      <w:proofErr w:type="spellEnd"/>
      <w:r w:rsidRPr="00CA43C7">
        <w:rPr>
          <w:sz w:val="22"/>
          <w:szCs w:val="22"/>
        </w:rPr>
        <w:t xml:space="preserve"> рыночная цена не рассчитана ни на одну из дат, то стоимость ценной бумаги определяется по цене ее приобретения;</w:t>
      </w:r>
    </w:p>
    <w:p w:rsidR="002C648F" w:rsidRPr="00CA43C7" w:rsidRDefault="002C648F" w:rsidP="00CA43C7">
      <w:pPr>
        <w:pStyle w:val="a3"/>
        <w:numPr>
          <w:ilvl w:val="0"/>
          <w:numId w:val="6"/>
        </w:numPr>
        <w:ind w:left="0" w:firstLine="0"/>
        <w:jc w:val="both"/>
        <w:rPr>
          <w:sz w:val="22"/>
          <w:szCs w:val="22"/>
        </w:rPr>
      </w:pPr>
      <w:r w:rsidRPr="00CA43C7">
        <w:rPr>
          <w:sz w:val="22"/>
          <w:szCs w:val="22"/>
        </w:rPr>
        <w:t>оценочная стоимость инвестиционного пая паевого инвестиционного фонда, не допущенного к торгам на Московской Бирже, признается равной его расчетной стоимости на дату определения Оценочной стоимости, публикуемой на сайте управляющей компании этого паевого инвестиционного фонда. А если на дату определения Оценочной стоимости расчетная стоимость инвестиционного пая не определялась – на последнюю дату ее расчета, предшествующую дате определения Оценочной стоимости;</w:t>
      </w:r>
    </w:p>
    <w:p w:rsidR="002C648F" w:rsidRPr="00CA43C7" w:rsidRDefault="002C648F" w:rsidP="00CA43C7">
      <w:pPr>
        <w:pStyle w:val="a3"/>
        <w:numPr>
          <w:ilvl w:val="0"/>
          <w:numId w:val="6"/>
        </w:numPr>
        <w:ind w:left="0" w:firstLine="0"/>
        <w:jc w:val="both"/>
        <w:rPr>
          <w:sz w:val="22"/>
          <w:szCs w:val="22"/>
        </w:rPr>
      </w:pPr>
      <w:r w:rsidRPr="00CA43C7">
        <w:rPr>
          <w:sz w:val="22"/>
          <w:szCs w:val="22"/>
        </w:rPr>
        <w:t xml:space="preserve">для купонных облигаций и облигаций иностранных эмитентов, допущенных к торгам на Московской Бирже - по рыночной цене, определяемой в порядке, уставленном абзацем 2 настоящего пункта, и увеличенной на величину накопленного купонного дохода, рассчитанную на дату определения рыночной стоимости, исходя из купонной ставки по соответствующему выпуску </w:t>
      </w:r>
      <w:r w:rsidRPr="00CA43C7">
        <w:rPr>
          <w:sz w:val="22"/>
          <w:szCs w:val="22"/>
        </w:rPr>
        <w:lastRenderedPageBreak/>
        <w:t>облигации, установленной на текущий купонный период, и, в случае отсутствия рыночной цены по итогам торгового дня, по средневзвешенной цене по итогам торгового дня, увеличенной на величину купонного дохода, рассчитанную на дату проведения оценки, исходя из купонной ставки по соответствующему выпуску облигации, установленной на текущий купонный период. Если на Московской Бирже рыночная цена не рассчитана ни на одну из дат, то стоимость ценной бумаги российского эмитента определяется по цене ее приобретения, и стоимость облигаций иностранных эмитентов определяется в соответствии с Абзацем 5;</w:t>
      </w:r>
    </w:p>
    <w:p w:rsidR="002C648F" w:rsidRPr="00CA43C7" w:rsidRDefault="002C648F" w:rsidP="00CA43C7">
      <w:pPr>
        <w:pStyle w:val="a3"/>
        <w:numPr>
          <w:ilvl w:val="0"/>
          <w:numId w:val="6"/>
        </w:numPr>
        <w:ind w:left="0" w:firstLine="0"/>
        <w:jc w:val="both"/>
        <w:rPr>
          <w:sz w:val="22"/>
          <w:szCs w:val="22"/>
        </w:rPr>
      </w:pPr>
      <w:r w:rsidRPr="00CA43C7">
        <w:rPr>
          <w:sz w:val="22"/>
          <w:szCs w:val="22"/>
        </w:rPr>
        <w:t>для эмиссионных ценных бумаг, не допущенным к торгам на дату определения оценочной стоимости - по цене приобретения;</w:t>
      </w:r>
    </w:p>
    <w:p w:rsidR="002C648F" w:rsidRPr="00CA43C7" w:rsidRDefault="002C648F" w:rsidP="00CA43C7">
      <w:pPr>
        <w:pStyle w:val="a3"/>
        <w:numPr>
          <w:ilvl w:val="0"/>
          <w:numId w:val="6"/>
        </w:numPr>
        <w:ind w:left="0" w:firstLine="0"/>
        <w:jc w:val="both"/>
        <w:rPr>
          <w:sz w:val="22"/>
          <w:szCs w:val="22"/>
        </w:rPr>
      </w:pPr>
      <w:r w:rsidRPr="00CA43C7">
        <w:rPr>
          <w:sz w:val="22"/>
          <w:szCs w:val="22"/>
        </w:rPr>
        <w:t>для иностранных ценных бумаг, не допущенных к торгам на Московской Бирже - по цене закрытия рынка (</w:t>
      </w:r>
      <w:proofErr w:type="spellStart"/>
      <w:r w:rsidRPr="00CA43C7">
        <w:rPr>
          <w:sz w:val="22"/>
          <w:szCs w:val="22"/>
        </w:rPr>
        <w:t>Bloomberg</w:t>
      </w:r>
      <w:proofErr w:type="spellEnd"/>
      <w:r w:rsidRPr="00CA43C7">
        <w:rPr>
          <w:sz w:val="22"/>
          <w:szCs w:val="22"/>
        </w:rPr>
        <w:t xml:space="preserve"> </w:t>
      </w:r>
      <w:proofErr w:type="spellStart"/>
      <w:r w:rsidRPr="00CA43C7">
        <w:rPr>
          <w:sz w:val="22"/>
          <w:szCs w:val="22"/>
        </w:rPr>
        <w:t>last</w:t>
      </w:r>
      <w:proofErr w:type="spellEnd"/>
      <w:r w:rsidRPr="00CA43C7">
        <w:rPr>
          <w:sz w:val="22"/>
          <w:szCs w:val="22"/>
        </w:rPr>
        <w:t>), публикуемой информационной системой «</w:t>
      </w:r>
      <w:proofErr w:type="spellStart"/>
      <w:r w:rsidRPr="00CA43C7">
        <w:rPr>
          <w:sz w:val="22"/>
          <w:szCs w:val="22"/>
        </w:rPr>
        <w:t>Блумберг</w:t>
      </w:r>
      <w:proofErr w:type="spellEnd"/>
      <w:r w:rsidRPr="00CA43C7">
        <w:rPr>
          <w:sz w:val="22"/>
          <w:szCs w:val="22"/>
        </w:rPr>
        <w:t>» (</w:t>
      </w:r>
      <w:proofErr w:type="spellStart"/>
      <w:r w:rsidRPr="00CA43C7">
        <w:rPr>
          <w:sz w:val="22"/>
          <w:szCs w:val="22"/>
        </w:rPr>
        <w:t>Bloomberg</w:t>
      </w:r>
      <w:proofErr w:type="spellEnd"/>
      <w:r w:rsidRPr="00CA43C7">
        <w:rPr>
          <w:sz w:val="22"/>
          <w:szCs w:val="22"/>
        </w:rPr>
        <w:t xml:space="preserve">), при наличии нескольких указанных цен приоритет имеет цена </w:t>
      </w:r>
      <w:proofErr w:type="spellStart"/>
      <w:r w:rsidRPr="00CA43C7">
        <w:rPr>
          <w:sz w:val="22"/>
          <w:szCs w:val="22"/>
        </w:rPr>
        <w:t>Bloomberg</w:t>
      </w:r>
      <w:proofErr w:type="spellEnd"/>
      <w:r w:rsidRPr="00CA43C7">
        <w:rPr>
          <w:sz w:val="22"/>
          <w:szCs w:val="22"/>
        </w:rPr>
        <w:t xml:space="preserve"> </w:t>
      </w:r>
      <w:proofErr w:type="spellStart"/>
      <w:r w:rsidRPr="00CA43C7">
        <w:rPr>
          <w:sz w:val="22"/>
          <w:szCs w:val="22"/>
        </w:rPr>
        <w:t>last</w:t>
      </w:r>
      <w:proofErr w:type="spellEnd"/>
      <w:r w:rsidRPr="00CA43C7">
        <w:rPr>
          <w:sz w:val="22"/>
          <w:szCs w:val="22"/>
        </w:rPr>
        <w:t xml:space="preserve"> с наибольшим объемом. При отсутствии указанной цены оценочная стоимость определяется исходя из цены предложения (</w:t>
      </w:r>
      <w:proofErr w:type="spellStart"/>
      <w:r w:rsidRPr="00CA43C7">
        <w:rPr>
          <w:sz w:val="22"/>
          <w:szCs w:val="22"/>
        </w:rPr>
        <w:t>Bloomberg</w:t>
      </w:r>
      <w:proofErr w:type="spellEnd"/>
      <w:r w:rsidRPr="00CA43C7">
        <w:rPr>
          <w:sz w:val="22"/>
          <w:szCs w:val="22"/>
        </w:rPr>
        <w:t xml:space="preserve"> </w:t>
      </w:r>
      <w:proofErr w:type="spellStart"/>
      <w:r w:rsidRPr="00CA43C7">
        <w:rPr>
          <w:sz w:val="22"/>
          <w:szCs w:val="22"/>
        </w:rPr>
        <w:t>Bid</w:t>
      </w:r>
      <w:proofErr w:type="spellEnd"/>
      <w:r w:rsidRPr="00CA43C7">
        <w:rPr>
          <w:sz w:val="22"/>
          <w:szCs w:val="22"/>
        </w:rPr>
        <w:t xml:space="preserve">), при наличии нескольких указанных цен приоритет имеет цена </w:t>
      </w:r>
      <w:proofErr w:type="spellStart"/>
      <w:r w:rsidRPr="00CA43C7">
        <w:rPr>
          <w:sz w:val="22"/>
          <w:szCs w:val="22"/>
        </w:rPr>
        <w:t>Bloomberg</w:t>
      </w:r>
      <w:proofErr w:type="spellEnd"/>
      <w:r w:rsidRPr="00CA43C7">
        <w:rPr>
          <w:sz w:val="22"/>
          <w:szCs w:val="22"/>
        </w:rPr>
        <w:t xml:space="preserve"> </w:t>
      </w:r>
      <w:proofErr w:type="spellStart"/>
      <w:r w:rsidRPr="00CA43C7">
        <w:rPr>
          <w:sz w:val="22"/>
          <w:szCs w:val="22"/>
        </w:rPr>
        <w:t>Bid</w:t>
      </w:r>
      <w:proofErr w:type="spellEnd"/>
      <w:r w:rsidRPr="00CA43C7">
        <w:rPr>
          <w:sz w:val="22"/>
          <w:szCs w:val="22"/>
        </w:rPr>
        <w:t xml:space="preserve"> с наибольшим объемом. Если информация по вышеуказанным ценам отсутствует, для определения оценочной стоимости используется информация о средней цене предложений участников торгов данной ценной бумагой (ALLQ </w:t>
      </w:r>
      <w:proofErr w:type="spellStart"/>
      <w:r w:rsidRPr="00CA43C7">
        <w:rPr>
          <w:sz w:val="22"/>
          <w:szCs w:val="22"/>
        </w:rPr>
        <w:t>Bid</w:t>
      </w:r>
      <w:proofErr w:type="spellEnd"/>
      <w:r w:rsidRPr="00CA43C7">
        <w:rPr>
          <w:sz w:val="22"/>
          <w:szCs w:val="22"/>
        </w:rPr>
        <w:t xml:space="preserve"> BGN</w:t>
      </w:r>
      <w:proofErr w:type="gramStart"/>
      <w:r w:rsidRPr="00CA43C7">
        <w:rPr>
          <w:sz w:val="22"/>
          <w:szCs w:val="22"/>
        </w:rPr>
        <w:t>).В</w:t>
      </w:r>
      <w:proofErr w:type="gramEnd"/>
      <w:r w:rsidRPr="00CA43C7">
        <w:rPr>
          <w:sz w:val="22"/>
          <w:szCs w:val="22"/>
        </w:rPr>
        <w:t xml:space="preserve"> случае, если цена ALLQ </w:t>
      </w:r>
      <w:proofErr w:type="spellStart"/>
      <w:r w:rsidRPr="00CA43C7">
        <w:rPr>
          <w:sz w:val="22"/>
          <w:szCs w:val="22"/>
        </w:rPr>
        <w:t>Bid</w:t>
      </w:r>
      <w:proofErr w:type="spellEnd"/>
      <w:r w:rsidRPr="00CA43C7">
        <w:rPr>
          <w:sz w:val="22"/>
          <w:szCs w:val="22"/>
        </w:rPr>
        <w:t xml:space="preserve"> BGN отсутствует (единственный участник торгов), в целях оценки принимается цена предложения этого участника (BID). При отсутствии указанной цены оценочная стоимость определяется исходя из цены закрытия указанного участника торгов (LAST). При невозможности определить цену в вышеуказанном порядке (отсутствие соответствующей цены/отсутствие информации об объемах) в целях определения оценочной стоимости принимается цена </w:t>
      </w:r>
      <w:proofErr w:type="spellStart"/>
      <w:r w:rsidRPr="00CA43C7">
        <w:rPr>
          <w:sz w:val="22"/>
          <w:szCs w:val="22"/>
        </w:rPr>
        <w:t>Bloomberg</w:t>
      </w:r>
      <w:proofErr w:type="spellEnd"/>
      <w:r w:rsidRPr="00CA43C7">
        <w:rPr>
          <w:sz w:val="22"/>
          <w:szCs w:val="22"/>
        </w:rPr>
        <w:t xml:space="preserve"> </w:t>
      </w:r>
      <w:proofErr w:type="spellStart"/>
      <w:r w:rsidRPr="00CA43C7">
        <w:rPr>
          <w:sz w:val="22"/>
          <w:szCs w:val="22"/>
        </w:rPr>
        <w:t>last</w:t>
      </w:r>
      <w:proofErr w:type="spellEnd"/>
      <w:r w:rsidRPr="00CA43C7">
        <w:rPr>
          <w:sz w:val="22"/>
          <w:szCs w:val="22"/>
        </w:rPr>
        <w:t xml:space="preserve"> с наибольшим объемом на последний торговый день, когда имелась информация о таких объемах. В случае отсутствия этой информации оценочная стоимость рассчитывается по цене </w:t>
      </w:r>
      <w:proofErr w:type="spellStart"/>
      <w:r w:rsidRPr="00CA43C7">
        <w:rPr>
          <w:sz w:val="22"/>
          <w:szCs w:val="22"/>
        </w:rPr>
        <w:t>Bloomberg</w:t>
      </w:r>
      <w:proofErr w:type="spellEnd"/>
      <w:r w:rsidRPr="00CA43C7">
        <w:rPr>
          <w:sz w:val="22"/>
          <w:szCs w:val="22"/>
        </w:rPr>
        <w:t xml:space="preserve"> </w:t>
      </w:r>
      <w:proofErr w:type="spellStart"/>
      <w:r w:rsidRPr="00CA43C7">
        <w:rPr>
          <w:sz w:val="22"/>
          <w:szCs w:val="22"/>
        </w:rPr>
        <w:t>Bid</w:t>
      </w:r>
      <w:proofErr w:type="spellEnd"/>
      <w:r w:rsidRPr="00CA43C7">
        <w:rPr>
          <w:sz w:val="22"/>
          <w:szCs w:val="22"/>
        </w:rPr>
        <w:t xml:space="preserve"> с наибольшим объемом, определяемой в таком же порядке. При отсутствии цен, определяемых в указанном выше порядке, оценочная стоимость иностранной ценной бумаги определяется по цене ее приобретения;</w:t>
      </w:r>
    </w:p>
    <w:p w:rsidR="002C648F" w:rsidRPr="00CA43C7" w:rsidRDefault="002C648F" w:rsidP="00CA43C7">
      <w:pPr>
        <w:pStyle w:val="a3"/>
        <w:numPr>
          <w:ilvl w:val="0"/>
          <w:numId w:val="6"/>
        </w:numPr>
        <w:ind w:left="0" w:firstLine="0"/>
        <w:jc w:val="both"/>
        <w:rPr>
          <w:sz w:val="22"/>
          <w:szCs w:val="22"/>
        </w:rPr>
      </w:pPr>
      <w:r w:rsidRPr="00CA43C7">
        <w:rPr>
          <w:sz w:val="22"/>
          <w:szCs w:val="22"/>
        </w:rPr>
        <w:t>для иностранных ценных бумаг, кроме облигаций, по цене закрытия рынка (</w:t>
      </w:r>
      <w:proofErr w:type="spellStart"/>
      <w:r w:rsidRPr="00CA43C7">
        <w:rPr>
          <w:sz w:val="22"/>
          <w:szCs w:val="22"/>
        </w:rPr>
        <w:t>Bloomberg</w:t>
      </w:r>
      <w:proofErr w:type="spellEnd"/>
      <w:r w:rsidRPr="00CA43C7">
        <w:rPr>
          <w:sz w:val="22"/>
          <w:szCs w:val="22"/>
        </w:rPr>
        <w:t xml:space="preserve"> </w:t>
      </w:r>
      <w:proofErr w:type="spellStart"/>
      <w:r w:rsidRPr="00CA43C7">
        <w:rPr>
          <w:sz w:val="22"/>
          <w:szCs w:val="22"/>
        </w:rPr>
        <w:t>last</w:t>
      </w:r>
      <w:proofErr w:type="spellEnd"/>
      <w:r w:rsidRPr="00CA43C7">
        <w:rPr>
          <w:sz w:val="22"/>
          <w:szCs w:val="22"/>
        </w:rPr>
        <w:t>), публикуемой информационной системой «</w:t>
      </w:r>
      <w:proofErr w:type="spellStart"/>
      <w:r w:rsidRPr="00CA43C7">
        <w:rPr>
          <w:sz w:val="22"/>
          <w:szCs w:val="22"/>
        </w:rPr>
        <w:t>Блумберг</w:t>
      </w:r>
      <w:proofErr w:type="spellEnd"/>
      <w:r w:rsidRPr="00CA43C7">
        <w:rPr>
          <w:sz w:val="22"/>
          <w:szCs w:val="22"/>
        </w:rPr>
        <w:t>» (</w:t>
      </w:r>
      <w:proofErr w:type="spellStart"/>
      <w:r w:rsidRPr="00CA43C7">
        <w:rPr>
          <w:sz w:val="22"/>
          <w:szCs w:val="22"/>
        </w:rPr>
        <w:t>Bloomberg</w:t>
      </w:r>
      <w:proofErr w:type="spellEnd"/>
      <w:r w:rsidRPr="00CA43C7">
        <w:rPr>
          <w:sz w:val="22"/>
          <w:szCs w:val="22"/>
        </w:rPr>
        <w:t xml:space="preserve">), при наличии нескольких указанных цен приоритет имеет цена </w:t>
      </w:r>
      <w:proofErr w:type="spellStart"/>
      <w:r w:rsidRPr="00CA43C7">
        <w:rPr>
          <w:sz w:val="22"/>
          <w:szCs w:val="22"/>
        </w:rPr>
        <w:t>Bloo</w:t>
      </w:r>
      <w:r w:rsidR="00B06C27" w:rsidRPr="00CA43C7">
        <w:rPr>
          <w:sz w:val="22"/>
          <w:szCs w:val="22"/>
        </w:rPr>
        <w:t>mberg</w:t>
      </w:r>
      <w:proofErr w:type="spellEnd"/>
      <w:r w:rsidR="00B06C27" w:rsidRPr="00CA43C7">
        <w:rPr>
          <w:sz w:val="22"/>
          <w:szCs w:val="22"/>
        </w:rPr>
        <w:t xml:space="preserve"> </w:t>
      </w:r>
      <w:proofErr w:type="spellStart"/>
      <w:r w:rsidR="00B06C27" w:rsidRPr="00CA43C7">
        <w:rPr>
          <w:sz w:val="22"/>
          <w:szCs w:val="22"/>
        </w:rPr>
        <w:t>last</w:t>
      </w:r>
      <w:proofErr w:type="spellEnd"/>
      <w:r w:rsidR="00B06C27" w:rsidRPr="00CA43C7">
        <w:rPr>
          <w:sz w:val="22"/>
          <w:szCs w:val="22"/>
        </w:rPr>
        <w:t xml:space="preserve"> с наибольшим объемом.</w:t>
      </w:r>
      <w:r w:rsidR="00240EDC" w:rsidRPr="00CA43C7">
        <w:rPr>
          <w:sz w:val="22"/>
          <w:szCs w:val="22"/>
        </w:rPr>
        <w:t xml:space="preserve"> </w:t>
      </w:r>
      <w:r w:rsidR="00B06C27" w:rsidRPr="00CA43C7">
        <w:rPr>
          <w:sz w:val="22"/>
          <w:szCs w:val="22"/>
        </w:rPr>
        <w:t>П</w:t>
      </w:r>
      <w:r w:rsidRPr="00CA43C7">
        <w:rPr>
          <w:sz w:val="22"/>
          <w:szCs w:val="22"/>
        </w:rPr>
        <w:t>ри отсутствии указанной цены оценочная стоимость определяется исходя из цены предложения (</w:t>
      </w:r>
      <w:proofErr w:type="spellStart"/>
      <w:r w:rsidRPr="00CA43C7">
        <w:rPr>
          <w:sz w:val="22"/>
          <w:szCs w:val="22"/>
        </w:rPr>
        <w:t>Bloomberg</w:t>
      </w:r>
      <w:proofErr w:type="spellEnd"/>
      <w:r w:rsidRPr="00CA43C7">
        <w:rPr>
          <w:sz w:val="22"/>
          <w:szCs w:val="22"/>
        </w:rPr>
        <w:t xml:space="preserve"> </w:t>
      </w:r>
      <w:proofErr w:type="spellStart"/>
      <w:r w:rsidRPr="00CA43C7">
        <w:rPr>
          <w:sz w:val="22"/>
          <w:szCs w:val="22"/>
        </w:rPr>
        <w:t>Bid</w:t>
      </w:r>
      <w:proofErr w:type="spellEnd"/>
      <w:r w:rsidRPr="00CA43C7">
        <w:rPr>
          <w:sz w:val="22"/>
          <w:szCs w:val="22"/>
        </w:rPr>
        <w:t xml:space="preserve">), при наличии нескольких указанных цен приоритет имеет цена </w:t>
      </w:r>
      <w:proofErr w:type="spellStart"/>
      <w:r w:rsidRPr="00CA43C7">
        <w:rPr>
          <w:sz w:val="22"/>
          <w:szCs w:val="22"/>
        </w:rPr>
        <w:t>Bloomberg</w:t>
      </w:r>
      <w:proofErr w:type="spellEnd"/>
      <w:r w:rsidRPr="00CA43C7">
        <w:rPr>
          <w:sz w:val="22"/>
          <w:szCs w:val="22"/>
        </w:rPr>
        <w:t xml:space="preserve"> </w:t>
      </w:r>
      <w:proofErr w:type="spellStart"/>
      <w:r w:rsidRPr="00CA43C7">
        <w:rPr>
          <w:sz w:val="22"/>
          <w:szCs w:val="22"/>
        </w:rPr>
        <w:t>Bid</w:t>
      </w:r>
      <w:proofErr w:type="spellEnd"/>
      <w:r w:rsidRPr="00CA43C7">
        <w:rPr>
          <w:sz w:val="22"/>
          <w:szCs w:val="22"/>
        </w:rPr>
        <w:t xml:space="preserve"> с наибольшим объемом. При отсутствии указанной цены оценочная стоимость определяется исходя из цены закрытия указанного участника торгов (LAST). При невозможности определить цену в вышеуказанном порядке (отсутствие соответствующей цены/отсутствие информации об объемах) в целях определения оценочной стоимости принимается цена </w:t>
      </w:r>
      <w:proofErr w:type="spellStart"/>
      <w:r w:rsidRPr="00CA43C7">
        <w:rPr>
          <w:sz w:val="22"/>
          <w:szCs w:val="22"/>
        </w:rPr>
        <w:t>Bloomberg</w:t>
      </w:r>
      <w:proofErr w:type="spellEnd"/>
      <w:r w:rsidRPr="00CA43C7">
        <w:rPr>
          <w:sz w:val="22"/>
          <w:szCs w:val="22"/>
        </w:rPr>
        <w:t xml:space="preserve"> </w:t>
      </w:r>
      <w:proofErr w:type="spellStart"/>
      <w:r w:rsidRPr="00CA43C7">
        <w:rPr>
          <w:sz w:val="22"/>
          <w:szCs w:val="22"/>
        </w:rPr>
        <w:t>last</w:t>
      </w:r>
      <w:proofErr w:type="spellEnd"/>
      <w:r w:rsidRPr="00CA43C7">
        <w:rPr>
          <w:sz w:val="22"/>
          <w:szCs w:val="22"/>
        </w:rPr>
        <w:t xml:space="preserve"> с наибольшим объемом на последний торговый день, когда имелась информация о таких объемах. В случае отсутствия этой информации оценочная стоимость рассчитывается по цене </w:t>
      </w:r>
      <w:proofErr w:type="spellStart"/>
      <w:r w:rsidRPr="00CA43C7">
        <w:rPr>
          <w:sz w:val="22"/>
          <w:szCs w:val="22"/>
        </w:rPr>
        <w:t>Bloomberg</w:t>
      </w:r>
      <w:proofErr w:type="spellEnd"/>
      <w:r w:rsidRPr="00CA43C7">
        <w:rPr>
          <w:sz w:val="22"/>
          <w:szCs w:val="22"/>
        </w:rPr>
        <w:t xml:space="preserve"> </w:t>
      </w:r>
      <w:proofErr w:type="spellStart"/>
      <w:r w:rsidRPr="00CA43C7">
        <w:rPr>
          <w:sz w:val="22"/>
          <w:szCs w:val="22"/>
        </w:rPr>
        <w:t>Bid</w:t>
      </w:r>
      <w:proofErr w:type="spellEnd"/>
      <w:r w:rsidRPr="00CA43C7">
        <w:rPr>
          <w:sz w:val="22"/>
          <w:szCs w:val="22"/>
        </w:rPr>
        <w:t xml:space="preserve"> с наибольшим объемом, определяемой в таком же порядке. При отсутствии цен, определяемых в указанном выше порядке, оценочная стоимость иностранной ценной бумаги определяется по цене ее приобретения;</w:t>
      </w:r>
    </w:p>
    <w:p w:rsidR="002C648F" w:rsidRPr="00CA43C7" w:rsidRDefault="002C648F" w:rsidP="00CA43C7">
      <w:pPr>
        <w:pStyle w:val="a3"/>
        <w:numPr>
          <w:ilvl w:val="0"/>
          <w:numId w:val="6"/>
        </w:numPr>
        <w:ind w:left="0" w:firstLine="0"/>
        <w:jc w:val="both"/>
        <w:rPr>
          <w:sz w:val="22"/>
          <w:szCs w:val="22"/>
        </w:rPr>
      </w:pPr>
      <w:r w:rsidRPr="00CA43C7">
        <w:rPr>
          <w:sz w:val="22"/>
          <w:szCs w:val="22"/>
        </w:rPr>
        <w:lastRenderedPageBreak/>
        <w:t>оценочная стоимость ценных бумаг, включенных в состав имущества в результате конвертации в них конвертируемых ценных бумаг, признается равной оценочной стоимости конвертированных ценных бумаг, скорректированной на коэффициент конвертации в случае, если он определен. Положения данного абзаца применяются до возникновения рыночной цены ценных бумаг, полу</w:t>
      </w:r>
      <w:r w:rsidR="00B06C27" w:rsidRPr="00CA43C7">
        <w:rPr>
          <w:sz w:val="22"/>
          <w:szCs w:val="22"/>
        </w:rPr>
        <w:t>ченных в результате конвертации;</w:t>
      </w:r>
      <w:r w:rsidRPr="00CA43C7">
        <w:rPr>
          <w:sz w:val="22"/>
          <w:szCs w:val="22"/>
        </w:rPr>
        <w:t xml:space="preserve"> </w:t>
      </w:r>
    </w:p>
    <w:p w:rsidR="002C648F" w:rsidRPr="00CA43C7" w:rsidRDefault="002C648F" w:rsidP="00CA43C7">
      <w:pPr>
        <w:pStyle w:val="a3"/>
        <w:numPr>
          <w:ilvl w:val="0"/>
          <w:numId w:val="6"/>
        </w:numPr>
        <w:ind w:left="0" w:firstLine="0"/>
        <w:jc w:val="both"/>
        <w:rPr>
          <w:sz w:val="22"/>
          <w:szCs w:val="22"/>
        </w:rPr>
      </w:pPr>
      <w:r w:rsidRPr="00CA43C7">
        <w:rPr>
          <w:sz w:val="22"/>
          <w:szCs w:val="22"/>
        </w:rPr>
        <w:t>для иных ценных бумаг - Стороны определяют в дополнительных соглашениях к Договору.</w:t>
      </w:r>
    </w:p>
    <w:p w:rsidR="002C648F" w:rsidRPr="00CA43C7" w:rsidRDefault="00B06C27" w:rsidP="00CA43C7">
      <w:pPr>
        <w:pStyle w:val="a3"/>
        <w:ind w:left="0"/>
        <w:jc w:val="both"/>
        <w:rPr>
          <w:sz w:val="22"/>
          <w:szCs w:val="22"/>
        </w:rPr>
      </w:pPr>
      <w:r w:rsidRPr="00CA43C7">
        <w:rPr>
          <w:sz w:val="22"/>
          <w:szCs w:val="22"/>
        </w:rPr>
        <w:t xml:space="preserve">2.6.6. </w:t>
      </w:r>
      <w:r w:rsidR="002C648F" w:rsidRPr="00CA43C7">
        <w:rPr>
          <w:sz w:val="22"/>
          <w:szCs w:val="22"/>
        </w:rPr>
        <w:t xml:space="preserve">Оценочная стоимость обязательств по биржевым фьючерсным контрактам и опционам, если они предусмотрены Инвестиционной стратегией, определяется по расчетной цене соответствующего российского организатора торговли, и учитывается в составе остатка средств на брокерском счете.  </w:t>
      </w:r>
    </w:p>
    <w:p w:rsidR="002C648F" w:rsidRPr="00CA43C7" w:rsidRDefault="002C648F" w:rsidP="00CA43C7">
      <w:pPr>
        <w:pStyle w:val="a3"/>
        <w:ind w:left="0"/>
        <w:jc w:val="both"/>
        <w:rPr>
          <w:sz w:val="22"/>
          <w:szCs w:val="22"/>
        </w:rPr>
      </w:pPr>
      <w:r w:rsidRPr="00CA43C7">
        <w:rPr>
          <w:sz w:val="22"/>
          <w:szCs w:val="22"/>
        </w:rPr>
        <w:tab/>
        <w:t>Оценочная стоимость форвардного контракта учитывается в составе дебиторской/кредиторской задолженности как разница между Оценочной стоимостью ценной бумаги, являющейся базовым активом, на дату определения Оценочной стоимости и стоимостью исполнения форвардного контракта.</w:t>
      </w:r>
    </w:p>
    <w:p w:rsidR="002C648F" w:rsidRPr="00CA43C7" w:rsidRDefault="002C648F" w:rsidP="00CA43C7">
      <w:pPr>
        <w:pStyle w:val="a3"/>
        <w:ind w:left="0"/>
        <w:jc w:val="both"/>
        <w:rPr>
          <w:sz w:val="22"/>
          <w:szCs w:val="22"/>
        </w:rPr>
      </w:pPr>
      <w:r w:rsidRPr="00CA43C7">
        <w:rPr>
          <w:sz w:val="22"/>
          <w:szCs w:val="22"/>
        </w:rPr>
        <w:tab/>
        <w:t>Оценочная стоимость обязательств по внебиржевым опционам учитывается в составе дебиторской/кредиторской задолженности и определяется по расчетной цене, публикуемой информационной системой «</w:t>
      </w:r>
      <w:proofErr w:type="spellStart"/>
      <w:r w:rsidRPr="00CA43C7">
        <w:rPr>
          <w:sz w:val="22"/>
          <w:szCs w:val="22"/>
        </w:rPr>
        <w:t>Блумберг</w:t>
      </w:r>
      <w:proofErr w:type="spellEnd"/>
      <w:r w:rsidRPr="00CA43C7">
        <w:rPr>
          <w:sz w:val="22"/>
          <w:szCs w:val="22"/>
        </w:rPr>
        <w:t>» (</w:t>
      </w:r>
      <w:proofErr w:type="spellStart"/>
      <w:r w:rsidRPr="00CA43C7">
        <w:rPr>
          <w:sz w:val="22"/>
          <w:szCs w:val="22"/>
        </w:rPr>
        <w:t>Bloomberg</w:t>
      </w:r>
      <w:proofErr w:type="spellEnd"/>
      <w:r w:rsidRPr="00CA43C7">
        <w:rPr>
          <w:sz w:val="22"/>
          <w:szCs w:val="22"/>
        </w:rPr>
        <w:t>) на дату оценки. При отсутствии на дату оценки указанной цены оценочная стоимость определяется как последняя определенная расчетная цена, при ее отсутствии оценочная стоимость признается равной нулю.</w:t>
      </w:r>
    </w:p>
    <w:p w:rsidR="00B06C27" w:rsidRPr="00CA43C7" w:rsidRDefault="00B06C27" w:rsidP="00CA43C7">
      <w:pPr>
        <w:pStyle w:val="a3"/>
        <w:ind w:left="0"/>
        <w:jc w:val="both"/>
        <w:rPr>
          <w:sz w:val="22"/>
          <w:szCs w:val="22"/>
        </w:rPr>
      </w:pPr>
    </w:p>
    <w:p w:rsidR="002C648F" w:rsidRPr="00CA43C7" w:rsidRDefault="00B06C27" w:rsidP="00CA43C7">
      <w:pPr>
        <w:pStyle w:val="a3"/>
        <w:ind w:left="0"/>
        <w:jc w:val="both"/>
        <w:rPr>
          <w:sz w:val="22"/>
          <w:szCs w:val="22"/>
        </w:rPr>
      </w:pPr>
      <w:r w:rsidRPr="00CA43C7">
        <w:rPr>
          <w:sz w:val="22"/>
          <w:szCs w:val="22"/>
        </w:rPr>
        <w:t xml:space="preserve">2.6.7.  </w:t>
      </w:r>
      <w:r w:rsidR="002C648F" w:rsidRPr="00CA43C7">
        <w:rPr>
          <w:sz w:val="22"/>
          <w:szCs w:val="22"/>
        </w:rPr>
        <w:t>Оценочная стоимость имущества и обязательств при совершении сделок РЕПО определяется следующим образом:</w:t>
      </w:r>
    </w:p>
    <w:p w:rsidR="002C648F" w:rsidRPr="00CA43C7" w:rsidRDefault="002C648F" w:rsidP="00CA43C7">
      <w:pPr>
        <w:pStyle w:val="a3"/>
        <w:ind w:left="0"/>
        <w:jc w:val="both"/>
        <w:rPr>
          <w:sz w:val="22"/>
          <w:szCs w:val="22"/>
        </w:rPr>
      </w:pPr>
      <w:r w:rsidRPr="00CA43C7">
        <w:rPr>
          <w:sz w:val="22"/>
          <w:szCs w:val="22"/>
        </w:rPr>
        <w:tab/>
        <w:t>Прямое РЕПО (привлечение по первой части сделки РЕПО денежных средств под залог ценных бумаг, которые подлежат возврату (обратному выкупу) при возвращении денежных средств и уплате процентов по ставке РЕПО при исполнении второй части сделки РЕПО):</w:t>
      </w:r>
    </w:p>
    <w:p w:rsidR="002C648F" w:rsidRPr="00CA43C7" w:rsidRDefault="002C648F" w:rsidP="00CA43C7">
      <w:pPr>
        <w:pStyle w:val="a3"/>
        <w:ind w:left="0"/>
        <w:jc w:val="both"/>
        <w:rPr>
          <w:sz w:val="22"/>
          <w:szCs w:val="22"/>
        </w:rPr>
      </w:pPr>
      <w:r w:rsidRPr="00CA43C7">
        <w:rPr>
          <w:sz w:val="22"/>
          <w:szCs w:val="22"/>
        </w:rPr>
        <w:t>•</w:t>
      </w:r>
      <w:r w:rsidRPr="00CA43C7">
        <w:rPr>
          <w:sz w:val="22"/>
          <w:szCs w:val="22"/>
        </w:rPr>
        <w:tab/>
        <w:t>оценочная стоимость ценных бумаг, переданных по первой части сделки РЕПО определяется в соответствии с п. 6.7.5 настоящей Методики;</w:t>
      </w:r>
    </w:p>
    <w:p w:rsidR="002C648F" w:rsidRPr="00CA43C7" w:rsidRDefault="002C648F" w:rsidP="00CA43C7">
      <w:pPr>
        <w:pStyle w:val="a3"/>
        <w:ind w:left="0"/>
        <w:jc w:val="both"/>
        <w:rPr>
          <w:sz w:val="22"/>
          <w:szCs w:val="22"/>
        </w:rPr>
      </w:pPr>
      <w:r w:rsidRPr="00CA43C7">
        <w:rPr>
          <w:sz w:val="22"/>
          <w:szCs w:val="22"/>
        </w:rPr>
        <w:t>•</w:t>
      </w:r>
      <w:r w:rsidRPr="00CA43C7">
        <w:rPr>
          <w:sz w:val="22"/>
          <w:szCs w:val="22"/>
        </w:rPr>
        <w:tab/>
        <w:t>сумма сделки образует соответствующую кредиторскую задолженность с учетом ежедневно начисляемого процента по ставке РЕПО за фактическое количество дней со дня, следующего за днем поступления соответствующих денежных средств в рамках исполнения первой части сделки РЕПО по дату уплаты соответствующих денежных средств в рамках исполнения второй части сделки РЕПО.</w:t>
      </w:r>
    </w:p>
    <w:p w:rsidR="002C648F" w:rsidRPr="00CA43C7" w:rsidRDefault="002C648F" w:rsidP="00CA43C7">
      <w:pPr>
        <w:pStyle w:val="a3"/>
        <w:ind w:left="0"/>
        <w:jc w:val="both"/>
        <w:rPr>
          <w:sz w:val="22"/>
          <w:szCs w:val="22"/>
        </w:rPr>
      </w:pPr>
      <w:r w:rsidRPr="00CA43C7">
        <w:rPr>
          <w:sz w:val="22"/>
          <w:szCs w:val="22"/>
        </w:rPr>
        <w:tab/>
        <w:t>Обратное РЕПО (привлечение по первой части сделки РЕПО ценных бумаг, при этом, уплачиваемые денежные средства служат залогом, подлежащие возврату при возвращении ценных бумаг, и уплате процентов по ставке РЕПО при исполнении второй части сделки РЕПО):</w:t>
      </w:r>
    </w:p>
    <w:p w:rsidR="00B06C27" w:rsidRPr="00CA43C7" w:rsidRDefault="002C648F" w:rsidP="00CA43C7">
      <w:pPr>
        <w:pStyle w:val="a3"/>
        <w:ind w:left="0"/>
        <w:jc w:val="both"/>
        <w:rPr>
          <w:sz w:val="22"/>
          <w:szCs w:val="22"/>
        </w:rPr>
      </w:pPr>
      <w:r w:rsidRPr="00CA43C7">
        <w:rPr>
          <w:sz w:val="22"/>
          <w:szCs w:val="22"/>
        </w:rPr>
        <w:t xml:space="preserve">• </w:t>
      </w:r>
      <w:r w:rsidRPr="00CA43C7">
        <w:rPr>
          <w:sz w:val="22"/>
          <w:szCs w:val="22"/>
        </w:rPr>
        <w:tab/>
        <w:t>полученные по первой части сделки РЕПО ценные бумаги образуют дебиторскую задолженность, размер которой определяется исходя из суммы первой части сделки РЕПО с учетом ежедневно начисляемого процента по ставке РЕПО за фактическое количество дней со дня, следующего за днем уплаты соответствующих денежных средств в рамках исполнения первой части сделки РЕПО по дату поступления соответствующих денежных средств в рамках исполнения второй части сделки РЕПО.</w:t>
      </w:r>
    </w:p>
    <w:p w:rsidR="00B06C27" w:rsidRPr="00CA43C7" w:rsidRDefault="00B06C27" w:rsidP="00CA43C7">
      <w:pPr>
        <w:pStyle w:val="a3"/>
        <w:ind w:left="0"/>
        <w:jc w:val="both"/>
        <w:rPr>
          <w:sz w:val="22"/>
          <w:szCs w:val="22"/>
        </w:rPr>
      </w:pPr>
    </w:p>
    <w:p w:rsidR="00B06C27" w:rsidRPr="00CA43C7" w:rsidRDefault="00B06C27" w:rsidP="00CA43C7">
      <w:pPr>
        <w:pStyle w:val="a3"/>
        <w:ind w:left="0"/>
        <w:jc w:val="both"/>
        <w:rPr>
          <w:sz w:val="22"/>
          <w:szCs w:val="22"/>
        </w:rPr>
      </w:pPr>
      <w:r w:rsidRPr="00CA43C7">
        <w:rPr>
          <w:sz w:val="22"/>
          <w:szCs w:val="22"/>
        </w:rPr>
        <w:lastRenderedPageBreak/>
        <w:t xml:space="preserve">2.6.8. </w:t>
      </w:r>
      <w:r w:rsidR="002C648F" w:rsidRPr="00CA43C7">
        <w:rPr>
          <w:sz w:val="22"/>
          <w:szCs w:val="22"/>
        </w:rPr>
        <w:t>Стороны договорились, что при списании ценных бумаг, входящих в состав имущества Учредителя управления, используется способ ФИФО (по первоначальной стоимости первых по времени приобретения ценных бумаг).</w:t>
      </w:r>
    </w:p>
    <w:p w:rsidR="002C648F" w:rsidRPr="00CA43C7" w:rsidRDefault="002C648F" w:rsidP="00CA43C7">
      <w:pPr>
        <w:pStyle w:val="a3"/>
        <w:ind w:left="0"/>
        <w:jc w:val="both"/>
        <w:rPr>
          <w:sz w:val="22"/>
          <w:szCs w:val="22"/>
        </w:rPr>
      </w:pPr>
      <w:r w:rsidRPr="00CA43C7">
        <w:rPr>
          <w:sz w:val="22"/>
          <w:szCs w:val="22"/>
        </w:rPr>
        <w:t xml:space="preserve"> </w:t>
      </w:r>
    </w:p>
    <w:p w:rsidR="002C648F" w:rsidRPr="00CA43C7" w:rsidRDefault="00B06C27" w:rsidP="00CA43C7">
      <w:pPr>
        <w:pStyle w:val="a3"/>
        <w:ind w:left="0"/>
        <w:jc w:val="both"/>
        <w:rPr>
          <w:sz w:val="22"/>
          <w:szCs w:val="22"/>
        </w:rPr>
      </w:pPr>
      <w:r w:rsidRPr="00CA43C7">
        <w:rPr>
          <w:sz w:val="22"/>
          <w:szCs w:val="22"/>
        </w:rPr>
        <w:t xml:space="preserve">2.6.9. </w:t>
      </w:r>
      <w:r w:rsidR="002C648F" w:rsidRPr="00CA43C7">
        <w:rPr>
          <w:sz w:val="22"/>
          <w:szCs w:val="22"/>
        </w:rPr>
        <w:t>Сумма денежных средств и обязательств в иностранной валюте пересчитывается в рубли по курсу, установленному Центральным банком Российской Федерации на дату оценки имущества.</w:t>
      </w:r>
    </w:p>
    <w:p w:rsidR="008270F4" w:rsidRPr="00CA43C7" w:rsidRDefault="008270F4" w:rsidP="00AB3120">
      <w:pPr>
        <w:pStyle w:val="a3"/>
        <w:jc w:val="both"/>
        <w:rPr>
          <w:sz w:val="22"/>
          <w:szCs w:val="22"/>
        </w:rPr>
      </w:pPr>
    </w:p>
    <w:p w:rsidR="008270F4" w:rsidRPr="00CA43C7" w:rsidRDefault="007E5CE9" w:rsidP="007E5CE9">
      <w:pPr>
        <w:tabs>
          <w:tab w:val="left" w:pos="-142"/>
        </w:tabs>
        <w:jc w:val="center"/>
        <w:rPr>
          <w:b/>
          <w:sz w:val="22"/>
          <w:szCs w:val="22"/>
        </w:rPr>
      </w:pPr>
      <w:r w:rsidRPr="00CA43C7">
        <w:rPr>
          <w:b/>
          <w:sz w:val="22"/>
          <w:szCs w:val="22"/>
        </w:rPr>
        <w:t>3.</w:t>
      </w:r>
      <w:r w:rsidRPr="00CA43C7">
        <w:rPr>
          <w:b/>
          <w:sz w:val="22"/>
          <w:szCs w:val="22"/>
        </w:rPr>
        <w:tab/>
      </w:r>
      <w:r>
        <w:rPr>
          <w:b/>
          <w:sz w:val="22"/>
          <w:szCs w:val="22"/>
        </w:rPr>
        <w:t>Заключительные положения</w:t>
      </w:r>
    </w:p>
    <w:p w:rsidR="008D748A" w:rsidRPr="00CA43C7" w:rsidRDefault="008D748A" w:rsidP="008270F4">
      <w:pPr>
        <w:tabs>
          <w:tab w:val="left" w:pos="-142"/>
        </w:tabs>
        <w:jc w:val="center"/>
        <w:rPr>
          <w:b/>
          <w:sz w:val="22"/>
          <w:szCs w:val="22"/>
        </w:rPr>
      </w:pPr>
    </w:p>
    <w:p w:rsidR="008270F4" w:rsidRPr="00CA43C7" w:rsidRDefault="008270F4" w:rsidP="00A422D4">
      <w:pPr>
        <w:tabs>
          <w:tab w:val="left" w:pos="-426"/>
        </w:tabs>
        <w:autoSpaceDE w:val="0"/>
        <w:autoSpaceDN w:val="0"/>
        <w:adjustRightInd w:val="0"/>
        <w:jc w:val="both"/>
        <w:rPr>
          <w:sz w:val="22"/>
          <w:szCs w:val="22"/>
        </w:rPr>
      </w:pPr>
      <w:r w:rsidRPr="00CA43C7">
        <w:rPr>
          <w:sz w:val="22"/>
          <w:szCs w:val="22"/>
        </w:rPr>
        <w:t xml:space="preserve">3.1. </w:t>
      </w:r>
      <w:r w:rsidR="007E5CE9" w:rsidRPr="00CA43C7">
        <w:rPr>
          <w:sz w:val="22"/>
          <w:szCs w:val="22"/>
        </w:rPr>
        <w:t xml:space="preserve">Управляющий </w:t>
      </w:r>
      <w:r w:rsidRPr="00CA43C7">
        <w:rPr>
          <w:sz w:val="22"/>
          <w:szCs w:val="22"/>
        </w:rPr>
        <w:t xml:space="preserve">раскрывает настоящую Методику </w:t>
      </w:r>
      <w:r w:rsidR="007E5CE9" w:rsidRPr="00CA43C7">
        <w:rPr>
          <w:sz w:val="22"/>
          <w:szCs w:val="22"/>
        </w:rPr>
        <w:t xml:space="preserve">на сайте Управляющего по адресу </w:t>
      </w:r>
      <w:hyperlink r:id="rId5" w:history="1">
        <w:r w:rsidR="007E5CE9" w:rsidRPr="00CA43C7">
          <w:rPr>
            <w:rStyle w:val="a9"/>
            <w:sz w:val="22"/>
            <w:szCs w:val="22"/>
          </w:rPr>
          <w:t>www.alfacapital.ru</w:t>
        </w:r>
      </w:hyperlink>
      <w:r w:rsidR="007E5CE9">
        <w:rPr>
          <w:sz w:val="22"/>
          <w:szCs w:val="22"/>
        </w:rPr>
        <w:t xml:space="preserve"> (далее – Сайт Управляющего)</w:t>
      </w:r>
      <w:r w:rsidRPr="00CA43C7">
        <w:rPr>
          <w:sz w:val="22"/>
          <w:szCs w:val="22"/>
        </w:rPr>
        <w:t>.</w:t>
      </w:r>
    </w:p>
    <w:p w:rsidR="008D748A" w:rsidRPr="00CA43C7" w:rsidRDefault="008D748A" w:rsidP="00A422D4">
      <w:pPr>
        <w:tabs>
          <w:tab w:val="left" w:pos="426"/>
          <w:tab w:val="left" w:pos="567"/>
          <w:tab w:val="left" w:pos="709"/>
          <w:tab w:val="left" w:pos="851"/>
        </w:tabs>
        <w:autoSpaceDE w:val="0"/>
        <w:autoSpaceDN w:val="0"/>
        <w:adjustRightInd w:val="0"/>
        <w:jc w:val="both"/>
        <w:rPr>
          <w:sz w:val="22"/>
          <w:szCs w:val="22"/>
        </w:rPr>
      </w:pPr>
    </w:p>
    <w:p w:rsidR="008270F4" w:rsidRPr="00CA43C7" w:rsidRDefault="008270F4" w:rsidP="00A422D4">
      <w:pPr>
        <w:tabs>
          <w:tab w:val="left" w:pos="426"/>
          <w:tab w:val="left" w:pos="567"/>
          <w:tab w:val="left" w:pos="709"/>
          <w:tab w:val="left" w:pos="851"/>
        </w:tabs>
        <w:autoSpaceDE w:val="0"/>
        <w:autoSpaceDN w:val="0"/>
        <w:adjustRightInd w:val="0"/>
        <w:jc w:val="both"/>
        <w:rPr>
          <w:sz w:val="22"/>
          <w:szCs w:val="22"/>
        </w:rPr>
      </w:pPr>
      <w:r w:rsidRPr="00CA43C7">
        <w:rPr>
          <w:sz w:val="22"/>
          <w:szCs w:val="22"/>
        </w:rPr>
        <w:t xml:space="preserve">3.2. </w:t>
      </w:r>
      <w:r w:rsidR="007E5CE9" w:rsidRPr="007E5CE9">
        <w:rPr>
          <w:sz w:val="22"/>
          <w:szCs w:val="22"/>
        </w:rPr>
        <w:t>Управляющий имеет право вносить изменения и дополнения</w:t>
      </w:r>
      <w:r w:rsidR="007E5CE9">
        <w:rPr>
          <w:sz w:val="22"/>
          <w:szCs w:val="22"/>
        </w:rPr>
        <w:t xml:space="preserve"> в Методику и </w:t>
      </w:r>
      <w:r w:rsidR="007E5CE9" w:rsidRPr="007E5CE9">
        <w:rPr>
          <w:sz w:val="22"/>
          <w:szCs w:val="22"/>
        </w:rPr>
        <w:t xml:space="preserve">становятся обязательными для Сторон </w:t>
      </w:r>
      <w:r w:rsidR="002F3DA7">
        <w:rPr>
          <w:sz w:val="22"/>
          <w:szCs w:val="22"/>
        </w:rPr>
        <w:t>по истечении</w:t>
      </w:r>
      <w:r w:rsidR="002F3DA7" w:rsidRPr="007E5CE9">
        <w:rPr>
          <w:sz w:val="22"/>
          <w:szCs w:val="22"/>
        </w:rPr>
        <w:t xml:space="preserve"> </w:t>
      </w:r>
      <w:r w:rsidR="00CA43C7">
        <w:rPr>
          <w:sz w:val="22"/>
          <w:szCs w:val="22"/>
        </w:rPr>
        <w:t>10</w:t>
      </w:r>
      <w:r w:rsidR="00CA43C7" w:rsidRPr="007E5CE9">
        <w:rPr>
          <w:sz w:val="22"/>
          <w:szCs w:val="22"/>
        </w:rPr>
        <w:t xml:space="preserve"> </w:t>
      </w:r>
      <w:r w:rsidR="007E5CE9" w:rsidRPr="007E5CE9">
        <w:rPr>
          <w:sz w:val="22"/>
          <w:szCs w:val="22"/>
        </w:rPr>
        <w:t>(</w:t>
      </w:r>
      <w:r w:rsidR="002F3DA7">
        <w:rPr>
          <w:sz w:val="22"/>
          <w:szCs w:val="22"/>
        </w:rPr>
        <w:t>Десяти</w:t>
      </w:r>
      <w:r w:rsidR="007E5CE9" w:rsidRPr="007E5CE9">
        <w:rPr>
          <w:sz w:val="22"/>
          <w:szCs w:val="22"/>
        </w:rPr>
        <w:t xml:space="preserve">) </w:t>
      </w:r>
      <w:r w:rsidR="00CA43C7">
        <w:rPr>
          <w:sz w:val="22"/>
          <w:szCs w:val="22"/>
        </w:rPr>
        <w:t>календарны</w:t>
      </w:r>
      <w:r w:rsidR="002F3DA7">
        <w:rPr>
          <w:sz w:val="22"/>
          <w:szCs w:val="22"/>
        </w:rPr>
        <w:t>х</w:t>
      </w:r>
      <w:r w:rsidR="00CA43C7" w:rsidRPr="007E5CE9">
        <w:rPr>
          <w:sz w:val="22"/>
          <w:szCs w:val="22"/>
        </w:rPr>
        <w:t xml:space="preserve"> </w:t>
      </w:r>
      <w:bookmarkStart w:id="0" w:name="_GoBack"/>
      <w:r w:rsidR="002F3DA7">
        <w:rPr>
          <w:sz w:val="22"/>
          <w:szCs w:val="22"/>
        </w:rPr>
        <w:t>дней</w:t>
      </w:r>
      <w:r w:rsidR="002F3DA7" w:rsidRPr="007E5CE9">
        <w:rPr>
          <w:sz w:val="22"/>
          <w:szCs w:val="22"/>
        </w:rPr>
        <w:t xml:space="preserve"> </w:t>
      </w:r>
      <w:bookmarkEnd w:id="0"/>
      <w:r w:rsidR="007E5CE9" w:rsidRPr="007E5CE9">
        <w:rPr>
          <w:sz w:val="22"/>
          <w:szCs w:val="22"/>
        </w:rPr>
        <w:t>с даты размещения Управляющим новой редакции</w:t>
      </w:r>
      <w:r w:rsidR="004B41E1" w:rsidRPr="00CA43C7">
        <w:rPr>
          <w:sz w:val="22"/>
          <w:szCs w:val="22"/>
        </w:rPr>
        <w:t xml:space="preserve"> </w:t>
      </w:r>
      <w:r w:rsidR="007E5CE9">
        <w:rPr>
          <w:sz w:val="22"/>
          <w:szCs w:val="22"/>
        </w:rPr>
        <w:t xml:space="preserve">Методики на Сайте Управляющего. </w:t>
      </w:r>
      <w:r w:rsidR="007E5CE9" w:rsidRPr="00CA43C7">
        <w:rPr>
          <w:sz w:val="22"/>
          <w:szCs w:val="22"/>
        </w:rPr>
        <w:t xml:space="preserve">Размещение новой редакции </w:t>
      </w:r>
      <w:r w:rsidR="007E5CE9">
        <w:rPr>
          <w:sz w:val="22"/>
          <w:szCs w:val="22"/>
        </w:rPr>
        <w:t>Методики</w:t>
      </w:r>
      <w:r w:rsidR="007E5CE9" w:rsidRPr="00CA43C7">
        <w:rPr>
          <w:sz w:val="22"/>
          <w:szCs w:val="22"/>
        </w:rPr>
        <w:t xml:space="preserve"> </w:t>
      </w:r>
      <w:r w:rsidR="007E5CE9">
        <w:rPr>
          <w:sz w:val="22"/>
          <w:szCs w:val="22"/>
        </w:rPr>
        <w:t xml:space="preserve">на Сайте Управляющего </w:t>
      </w:r>
      <w:r w:rsidR="007E5CE9" w:rsidRPr="00CA43C7">
        <w:rPr>
          <w:sz w:val="22"/>
          <w:szCs w:val="22"/>
        </w:rPr>
        <w:t>признается Сторонами надлежащим уведомлением Учредителя управления о соответствующих изменениях</w:t>
      </w:r>
      <w:r w:rsidR="007E5CE9">
        <w:rPr>
          <w:sz w:val="22"/>
          <w:szCs w:val="22"/>
        </w:rPr>
        <w:t>.</w:t>
      </w:r>
    </w:p>
    <w:p w:rsidR="00987DA8" w:rsidRPr="00CA43C7" w:rsidRDefault="005F5B62">
      <w:pPr>
        <w:rPr>
          <w:sz w:val="22"/>
          <w:szCs w:val="22"/>
        </w:rPr>
      </w:pPr>
    </w:p>
    <w:sectPr w:rsidR="00987DA8" w:rsidRPr="00CA4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altName w:val="PetersburgCTT"/>
    <w:panose1 w:val="02020603050405020304"/>
    <w:charset w:val="CC"/>
    <w:family w:val="roman"/>
    <w:pitch w:val="variable"/>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2E3E"/>
    <w:multiLevelType w:val="multilevel"/>
    <w:tmpl w:val="D3864420"/>
    <w:lvl w:ilvl="0">
      <w:start w:val="6"/>
      <w:numFmt w:val="decimal"/>
      <w:lvlText w:val="%1."/>
      <w:lvlJc w:val="left"/>
      <w:pPr>
        <w:ind w:left="450" w:hanging="450"/>
      </w:pPr>
      <w:rPr>
        <w:rFonts w:ascii="Calibri" w:eastAsia="Calibri" w:hAnsi="Calibri" w:hint="default"/>
        <w:i/>
      </w:rPr>
    </w:lvl>
    <w:lvl w:ilvl="1">
      <w:start w:val="7"/>
      <w:numFmt w:val="decimal"/>
      <w:lvlText w:val="%1.%2."/>
      <w:lvlJc w:val="left"/>
      <w:pPr>
        <w:ind w:left="450" w:hanging="450"/>
      </w:pPr>
      <w:rPr>
        <w:rFonts w:ascii="Arial" w:eastAsia="Calibri" w:hAnsi="Arial" w:cs="Arial" w:hint="default"/>
        <w:i w:val="0"/>
      </w:rPr>
    </w:lvl>
    <w:lvl w:ilvl="2">
      <w:start w:val="3"/>
      <w:numFmt w:val="decimal"/>
      <w:lvlText w:val="%1.%2.%3."/>
      <w:lvlJc w:val="left"/>
      <w:pPr>
        <w:ind w:left="720" w:hanging="720"/>
      </w:pPr>
      <w:rPr>
        <w:rFonts w:ascii="Arial" w:eastAsia="Calibri" w:hAnsi="Arial" w:cs="Arial" w:hint="default"/>
        <w:i w:val="0"/>
        <w:sz w:val="20"/>
        <w:szCs w:val="20"/>
      </w:rPr>
    </w:lvl>
    <w:lvl w:ilvl="3">
      <w:start w:val="1"/>
      <w:numFmt w:val="decimal"/>
      <w:lvlText w:val="%1.%2.%3.%4."/>
      <w:lvlJc w:val="left"/>
      <w:pPr>
        <w:ind w:left="720" w:hanging="720"/>
      </w:pPr>
      <w:rPr>
        <w:rFonts w:ascii="Calibri" w:eastAsia="Calibri" w:hAnsi="Calibri" w:hint="default"/>
        <w:i/>
      </w:rPr>
    </w:lvl>
    <w:lvl w:ilvl="4">
      <w:start w:val="1"/>
      <w:numFmt w:val="decimal"/>
      <w:lvlText w:val="%1.%2.%3.%4.%5."/>
      <w:lvlJc w:val="left"/>
      <w:pPr>
        <w:ind w:left="1080" w:hanging="1080"/>
      </w:pPr>
      <w:rPr>
        <w:rFonts w:ascii="Calibri" w:eastAsia="Calibri" w:hAnsi="Calibri" w:hint="default"/>
        <w:i/>
      </w:rPr>
    </w:lvl>
    <w:lvl w:ilvl="5">
      <w:start w:val="1"/>
      <w:numFmt w:val="decimal"/>
      <w:lvlText w:val="%1.%2.%3.%4.%5.%6."/>
      <w:lvlJc w:val="left"/>
      <w:pPr>
        <w:ind w:left="1080" w:hanging="1080"/>
      </w:pPr>
      <w:rPr>
        <w:rFonts w:ascii="Calibri" w:eastAsia="Calibri" w:hAnsi="Calibri" w:hint="default"/>
        <w:i/>
      </w:rPr>
    </w:lvl>
    <w:lvl w:ilvl="6">
      <w:start w:val="1"/>
      <w:numFmt w:val="decimal"/>
      <w:lvlText w:val="%1.%2.%3.%4.%5.%6.%7."/>
      <w:lvlJc w:val="left"/>
      <w:pPr>
        <w:ind w:left="1440" w:hanging="1440"/>
      </w:pPr>
      <w:rPr>
        <w:rFonts w:ascii="Calibri" w:eastAsia="Calibri" w:hAnsi="Calibri" w:hint="default"/>
        <w:i/>
      </w:rPr>
    </w:lvl>
    <w:lvl w:ilvl="7">
      <w:start w:val="1"/>
      <w:numFmt w:val="decimal"/>
      <w:lvlText w:val="%1.%2.%3.%4.%5.%6.%7.%8."/>
      <w:lvlJc w:val="left"/>
      <w:pPr>
        <w:ind w:left="1440" w:hanging="1440"/>
      </w:pPr>
      <w:rPr>
        <w:rFonts w:ascii="Calibri" w:eastAsia="Calibri" w:hAnsi="Calibri" w:hint="default"/>
        <w:i/>
      </w:rPr>
    </w:lvl>
    <w:lvl w:ilvl="8">
      <w:start w:val="1"/>
      <w:numFmt w:val="decimal"/>
      <w:lvlText w:val="%1.%2.%3.%4.%5.%6.%7.%8.%9."/>
      <w:lvlJc w:val="left"/>
      <w:pPr>
        <w:ind w:left="1800" w:hanging="1800"/>
      </w:pPr>
      <w:rPr>
        <w:rFonts w:ascii="Calibri" w:eastAsia="Calibri" w:hAnsi="Calibri" w:hint="default"/>
        <w:i/>
      </w:rPr>
    </w:lvl>
  </w:abstractNum>
  <w:abstractNum w:abstractNumId="1" w15:restartNumberingAfterBreak="0">
    <w:nsid w:val="18DA2019"/>
    <w:multiLevelType w:val="hybridMultilevel"/>
    <w:tmpl w:val="C6C03D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3425D99"/>
    <w:multiLevelType w:val="multilevel"/>
    <w:tmpl w:val="87D44DB2"/>
    <w:lvl w:ilvl="0">
      <w:start w:val="6"/>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4F012E"/>
    <w:multiLevelType w:val="hybridMultilevel"/>
    <w:tmpl w:val="D3248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7975A4"/>
    <w:multiLevelType w:val="multilevel"/>
    <w:tmpl w:val="EFC6103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880278C"/>
    <w:multiLevelType w:val="multilevel"/>
    <w:tmpl w:val="E76C996C"/>
    <w:lvl w:ilvl="0">
      <w:start w:val="5"/>
      <w:numFmt w:val="decimal"/>
      <w:lvlText w:val="%1."/>
      <w:lvlJc w:val="left"/>
      <w:pPr>
        <w:ind w:left="360" w:hanging="360"/>
      </w:pPr>
      <w:rPr>
        <w:rFonts w:hint="default"/>
        <w:sz w:val="20"/>
        <w:szCs w:val="20"/>
      </w:rPr>
    </w:lvl>
    <w:lvl w:ilvl="1">
      <w:start w:val="4"/>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0"/>
    <w:lvlOverride w:ilvl="0">
      <w:startOverride w:val="6"/>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8F"/>
    <w:rsid w:val="000452BB"/>
    <w:rsid w:val="00240EDC"/>
    <w:rsid w:val="002A7D4B"/>
    <w:rsid w:val="002C648F"/>
    <w:rsid w:val="002F3DA7"/>
    <w:rsid w:val="00337527"/>
    <w:rsid w:val="004B41E1"/>
    <w:rsid w:val="004D49A8"/>
    <w:rsid w:val="004E5F4C"/>
    <w:rsid w:val="005A0090"/>
    <w:rsid w:val="005F5B62"/>
    <w:rsid w:val="007E5CE9"/>
    <w:rsid w:val="008270F4"/>
    <w:rsid w:val="008D748A"/>
    <w:rsid w:val="00A422D4"/>
    <w:rsid w:val="00A91529"/>
    <w:rsid w:val="00AB3120"/>
    <w:rsid w:val="00AF513B"/>
    <w:rsid w:val="00B06C27"/>
    <w:rsid w:val="00BA3FA5"/>
    <w:rsid w:val="00BD7991"/>
    <w:rsid w:val="00C72B45"/>
    <w:rsid w:val="00CA43C7"/>
    <w:rsid w:val="00F26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7170"/>
  <w15:chartTrackingRefBased/>
  <w15:docId w15:val="{CADD710A-194D-4484-B414-5B61FB48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48F"/>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48F"/>
    <w:pPr>
      <w:ind w:left="720"/>
      <w:contextualSpacing/>
    </w:pPr>
  </w:style>
  <w:style w:type="paragraph" w:customStyle="1" w:styleId="a4">
    <w:name w:val="Название"/>
    <w:basedOn w:val="a"/>
    <w:qFormat/>
    <w:rsid w:val="002C648F"/>
    <w:pPr>
      <w:widowControl w:val="0"/>
      <w:ind w:firstLine="567"/>
      <w:jc w:val="center"/>
    </w:pPr>
    <w:rPr>
      <w:rFonts w:ascii="Times New Roman" w:hAnsi="Times New Roman" w:cs="Times New Roman"/>
      <w:caps/>
      <w:kern w:val="24"/>
      <w:szCs w:val="20"/>
      <w:u w:val="single"/>
      <w:lang w:val="en-AU"/>
    </w:rPr>
  </w:style>
  <w:style w:type="paragraph" w:customStyle="1" w:styleId="1">
    <w:name w:val="Обычный1"/>
    <w:rsid w:val="002C648F"/>
    <w:pPr>
      <w:spacing w:before="100" w:after="100" w:line="240" w:lineRule="auto"/>
    </w:pPr>
    <w:rPr>
      <w:rFonts w:ascii="Times New Roman" w:eastAsia="Times New Roman" w:hAnsi="Times New Roman" w:cs="Times New Roman"/>
      <w:snapToGrid w:val="0"/>
      <w:sz w:val="24"/>
      <w:szCs w:val="20"/>
      <w:lang w:val="en-US" w:eastAsia="ru-RU"/>
    </w:rPr>
  </w:style>
  <w:style w:type="paragraph" w:styleId="a5">
    <w:name w:val="Body Text"/>
    <w:basedOn w:val="a"/>
    <w:link w:val="a6"/>
    <w:rsid w:val="002C648F"/>
    <w:pPr>
      <w:jc w:val="both"/>
    </w:pPr>
    <w:rPr>
      <w:rFonts w:ascii="Times New Roman" w:hAnsi="Times New Roman" w:cs="Times New Roman"/>
      <w:snapToGrid w:val="0"/>
      <w:color w:val="000000"/>
      <w:szCs w:val="20"/>
    </w:rPr>
  </w:style>
  <w:style w:type="character" w:customStyle="1" w:styleId="a6">
    <w:name w:val="Основной текст Знак"/>
    <w:basedOn w:val="a0"/>
    <w:link w:val="a5"/>
    <w:rsid w:val="002C648F"/>
    <w:rPr>
      <w:rFonts w:ascii="Times New Roman" w:eastAsia="Times New Roman" w:hAnsi="Times New Roman" w:cs="Times New Roman"/>
      <w:snapToGrid w:val="0"/>
      <w:color w:val="000000"/>
      <w:sz w:val="24"/>
      <w:szCs w:val="20"/>
      <w:lang w:eastAsia="ru-RU"/>
    </w:rPr>
  </w:style>
  <w:style w:type="paragraph" w:styleId="a7">
    <w:name w:val="Balloon Text"/>
    <w:basedOn w:val="a"/>
    <w:link w:val="a8"/>
    <w:uiPriority w:val="99"/>
    <w:semiHidden/>
    <w:unhideWhenUsed/>
    <w:rsid w:val="007E5CE9"/>
    <w:rPr>
      <w:rFonts w:ascii="Segoe UI" w:hAnsi="Segoe UI" w:cs="Segoe UI"/>
      <w:sz w:val="18"/>
      <w:szCs w:val="18"/>
    </w:rPr>
  </w:style>
  <w:style w:type="character" w:customStyle="1" w:styleId="a8">
    <w:name w:val="Текст выноски Знак"/>
    <w:basedOn w:val="a0"/>
    <w:link w:val="a7"/>
    <w:uiPriority w:val="99"/>
    <w:semiHidden/>
    <w:rsid w:val="007E5CE9"/>
    <w:rPr>
      <w:rFonts w:ascii="Segoe UI" w:eastAsia="Times New Roman" w:hAnsi="Segoe UI" w:cs="Segoe UI"/>
      <w:sz w:val="18"/>
      <w:szCs w:val="18"/>
      <w:lang w:eastAsia="ru-RU"/>
    </w:rPr>
  </w:style>
  <w:style w:type="character" w:styleId="a9">
    <w:name w:val="Hyperlink"/>
    <w:basedOn w:val="a0"/>
    <w:uiPriority w:val="99"/>
    <w:unhideWhenUsed/>
    <w:rsid w:val="007E5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facapi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2135</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Кабакчи Петр Михайлович</dc:creator>
  <cp:keywords/>
  <dc:description/>
  <cp:lastModifiedBy>Гаева Елена Сергеевна</cp:lastModifiedBy>
  <cp:revision>3</cp:revision>
  <dcterms:created xsi:type="dcterms:W3CDTF">2022-03-28T13:55:00Z</dcterms:created>
  <dcterms:modified xsi:type="dcterms:W3CDTF">2022-03-28T14:13:00Z</dcterms:modified>
</cp:coreProperties>
</file>